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lastRenderedPageBreak/>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5pt;height:48.75pt" o:ole="">
            <v:imagedata r:id="rId14" o:title=""/>
          </v:shape>
          <o:OLEObject Type="Embed" ProgID="Word.Document.12" ShapeID="_x0000_i1025" DrawAspect="Icon" ObjectID="_1683353618"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4.65pt;height:48.75pt" o:ole="">
            <v:imagedata r:id="rId16" o:title=""/>
          </v:shape>
          <o:OLEObject Type="Embed" ProgID="Excel.Sheet.12" ShapeID="_x0000_i1026" DrawAspect="Icon" ObjectID="_1683353619" r:id="rId17"/>
        </w:object>
      </w:r>
      <w:r w:rsidR="00A80586">
        <w:rPr>
          <w:rFonts w:ascii="Arial" w:hAnsi="Arial" w:cs="Arial"/>
          <w:b/>
          <w:highlight w:val="yellow"/>
        </w:rPr>
        <w:br w:type="page"/>
      </w:r>
    </w:p>
    <w:p w14:paraId="4828A6AA" w14:textId="0D308210" w:rsidR="00A80586" w:rsidRPr="0088185D" w:rsidRDefault="00A80586"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 xml:space="preserve">Annex </w:t>
      </w:r>
      <w:r w:rsidR="006E2AC5" w:rsidRPr="0088185D">
        <w:rPr>
          <w:rFonts w:ascii="Arial" w:hAnsi="Arial" w:cs="Arial"/>
          <w:color w:val="365F91"/>
          <w:sz w:val="32"/>
        </w:rPr>
        <w:t>C: Contract Package Area</w:t>
      </w:r>
    </w:p>
    <w:p w14:paraId="5B1A77F9" w14:textId="7AB111E1" w:rsidR="00EA4A23" w:rsidRDefault="00EA4A23" w:rsidP="00A53784">
      <w:pPr>
        <w:widowControl w:val="0"/>
        <w:spacing w:before="200" w:after="200"/>
        <w:jc w:val="left"/>
        <w:rPr>
          <w:rFonts w:ascii="Arial" w:hAnsi="Arial" w:cs="Arial"/>
          <w:b/>
        </w:rPr>
      </w:pPr>
    </w:p>
    <w:p w14:paraId="7607E2D7" w14:textId="279646EC" w:rsidR="00EA4A23" w:rsidRDefault="00EA4A23" w:rsidP="00EA4A23">
      <w:pPr>
        <w:rPr>
          <w:rFonts w:ascii="Arial" w:hAnsi="Arial" w:cs="Arial"/>
        </w:rPr>
      </w:pPr>
    </w:p>
    <w:p w14:paraId="4B2B861A" w14:textId="5FC48064" w:rsidR="00EA4A23" w:rsidRDefault="00EA4A23" w:rsidP="00EA4A23">
      <w:pPr>
        <w:rPr>
          <w:rFonts w:ascii="Arial" w:hAnsi="Arial" w:cs="Arial"/>
        </w:rPr>
      </w:pPr>
    </w:p>
    <w:tbl>
      <w:tblPr>
        <w:tblW w:w="9488" w:type="dxa"/>
        <w:jc w:val="center"/>
        <w:tblLook w:val="04A0" w:firstRow="1" w:lastRow="0" w:firstColumn="1" w:lastColumn="0" w:noHBand="0" w:noVBand="1"/>
      </w:tblPr>
      <w:tblGrid>
        <w:gridCol w:w="1280"/>
        <w:gridCol w:w="2123"/>
        <w:gridCol w:w="6085"/>
      </w:tblGrid>
      <w:tr w:rsidR="00EA4A23" w:rsidRPr="00EA4A23" w14:paraId="0C174F2B" w14:textId="77777777" w:rsidTr="00826BEA">
        <w:trPr>
          <w:trHeight w:val="285"/>
          <w:jc w:val="center"/>
        </w:trPr>
        <w:tc>
          <w:tcPr>
            <w:tcW w:w="1280" w:type="dxa"/>
            <w:tcBorders>
              <w:top w:val="single" w:sz="8" w:space="0" w:color="auto"/>
              <w:left w:val="single" w:sz="8" w:space="0" w:color="auto"/>
              <w:bottom w:val="nil"/>
              <w:right w:val="nil"/>
            </w:tcBorders>
            <w:shd w:val="clear" w:color="auto" w:fill="BDD7EE"/>
            <w:noWrap/>
            <w:vAlign w:val="center"/>
            <w:hideMark/>
          </w:tcPr>
          <w:p w14:paraId="3BDF7B19" w14:textId="77777777" w:rsidR="00EA4A23" w:rsidRPr="00EA4A23" w:rsidRDefault="00EA4A23" w:rsidP="00EA4A23">
            <w:pPr>
              <w:spacing w:before="120" w:after="120"/>
              <w:ind w:left="0"/>
              <w:jc w:val="center"/>
              <w:rPr>
                <w:rFonts w:ascii="Arial" w:eastAsia="Times New Roman" w:hAnsi="Arial" w:cs="Arial"/>
                <w:b/>
                <w:bCs/>
                <w:color w:val="000000"/>
                <w:sz w:val="24"/>
                <w:szCs w:val="24"/>
                <w:lang w:eastAsia="en-GB"/>
              </w:rPr>
            </w:pPr>
            <w:r w:rsidRPr="00EA4A23">
              <w:rPr>
                <w:rFonts w:ascii="Arial" w:eastAsia="Times New Roman" w:hAnsi="Arial" w:cs="Arial"/>
                <w:b/>
                <w:bCs/>
                <w:color w:val="000000"/>
                <w:sz w:val="24"/>
                <w:szCs w:val="24"/>
                <w:lang w:eastAsia="en-GB"/>
              </w:rPr>
              <w:t>CPA Number</w:t>
            </w:r>
          </w:p>
        </w:tc>
        <w:tc>
          <w:tcPr>
            <w:tcW w:w="2123" w:type="dxa"/>
            <w:tcBorders>
              <w:top w:val="single" w:sz="8" w:space="0" w:color="auto"/>
              <w:left w:val="single" w:sz="8" w:space="0" w:color="auto"/>
              <w:bottom w:val="single" w:sz="4" w:space="0" w:color="auto"/>
              <w:right w:val="single" w:sz="4" w:space="0" w:color="auto"/>
            </w:tcBorders>
            <w:shd w:val="clear" w:color="auto" w:fill="BDD7EE"/>
            <w:noWrap/>
            <w:vAlign w:val="bottom"/>
            <w:hideMark/>
          </w:tcPr>
          <w:p w14:paraId="07823E56" w14:textId="77777777" w:rsidR="00EA4A23" w:rsidRPr="00EA4A23" w:rsidRDefault="00EA4A23" w:rsidP="00EA4A23">
            <w:pPr>
              <w:spacing w:before="120" w:after="120"/>
              <w:ind w:left="0"/>
              <w:jc w:val="left"/>
              <w:rPr>
                <w:rFonts w:ascii="Arial" w:eastAsia="Times New Roman" w:hAnsi="Arial" w:cs="Arial"/>
                <w:b/>
                <w:bCs/>
                <w:color w:val="000000"/>
                <w:sz w:val="24"/>
                <w:szCs w:val="24"/>
                <w:lang w:eastAsia="en-GB"/>
              </w:rPr>
            </w:pPr>
            <w:r w:rsidRPr="00EA4A23">
              <w:rPr>
                <w:rFonts w:ascii="Arial" w:eastAsia="Times New Roman" w:hAnsi="Arial" w:cs="Arial"/>
                <w:b/>
                <w:bCs/>
                <w:color w:val="000000"/>
                <w:sz w:val="24"/>
                <w:szCs w:val="24"/>
                <w:lang w:eastAsia="en-GB"/>
              </w:rPr>
              <w:t>Contract Package Area</w:t>
            </w:r>
          </w:p>
        </w:tc>
        <w:tc>
          <w:tcPr>
            <w:tcW w:w="6085" w:type="dxa"/>
            <w:tcBorders>
              <w:top w:val="single" w:sz="8" w:space="0" w:color="auto"/>
              <w:left w:val="nil"/>
              <w:bottom w:val="single" w:sz="4" w:space="0" w:color="auto"/>
              <w:right w:val="single" w:sz="8" w:space="0" w:color="auto"/>
            </w:tcBorders>
            <w:shd w:val="clear" w:color="auto" w:fill="BDD7EE"/>
            <w:noWrap/>
            <w:vAlign w:val="bottom"/>
            <w:hideMark/>
          </w:tcPr>
          <w:p w14:paraId="2A9E0AF6" w14:textId="77777777" w:rsidR="00EA4A23" w:rsidRPr="00EA4A23" w:rsidRDefault="00EA4A23" w:rsidP="00EA4A23">
            <w:pPr>
              <w:spacing w:before="120" w:after="120"/>
              <w:ind w:left="0"/>
              <w:jc w:val="left"/>
              <w:rPr>
                <w:rFonts w:ascii="Arial" w:eastAsia="Times New Roman" w:hAnsi="Arial" w:cs="Arial"/>
                <w:b/>
                <w:bCs/>
                <w:color w:val="000000"/>
                <w:sz w:val="24"/>
                <w:szCs w:val="24"/>
                <w:lang w:eastAsia="en-GB"/>
              </w:rPr>
            </w:pPr>
            <w:r w:rsidRPr="00EA4A23">
              <w:rPr>
                <w:rFonts w:ascii="Arial" w:eastAsia="Times New Roman" w:hAnsi="Arial" w:cs="Arial"/>
                <w:b/>
                <w:bCs/>
                <w:color w:val="000000"/>
                <w:sz w:val="24"/>
                <w:szCs w:val="24"/>
                <w:lang w:eastAsia="en-GB"/>
              </w:rPr>
              <w:t>Local Authorities</w:t>
            </w:r>
          </w:p>
        </w:tc>
      </w:tr>
      <w:tr w:rsidR="00EA4A23" w:rsidRPr="00EA4A23" w14:paraId="253A9A78" w14:textId="77777777" w:rsidTr="00826BEA">
        <w:trPr>
          <w:trHeight w:val="900"/>
          <w:jc w:val="center"/>
        </w:trPr>
        <w:tc>
          <w:tcPr>
            <w:tcW w:w="1280" w:type="dxa"/>
            <w:tcBorders>
              <w:top w:val="single" w:sz="4" w:space="0" w:color="auto"/>
              <w:left w:val="nil"/>
              <w:bottom w:val="single" w:sz="4" w:space="0" w:color="auto"/>
              <w:right w:val="single" w:sz="4" w:space="0" w:color="auto"/>
            </w:tcBorders>
            <w:shd w:val="clear" w:color="auto" w:fill="D0CECE"/>
            <w:noWrap/>
            <w:vAlign w:val="center"/>
            <w:hideMark/>
          </w:tcPr>
          <w:p w14:paraId="7544E941" w14:textId="77777777" w:rsidR="00EA4A23" w:rsidRPr="00EA4A23" w:rsidRDefault="00EA4A23" w:rsidP="00EA4A23">
            <w:pPr>
              <w:spacing w:before="120" w:after="120"/>
              <w:ind w:left="0"/>
              <w:jc w:val="center"/>
              <w:rPr>
                <w:rFonts w:ascii="Arial" w:eastAsia="Times New Roman" w:hAnsi="Arial" w:cs="Arial"/>
                <w:b/>
                <w:bCs/>
                <w:color w:val="000000"/>
                <w:sz w:val="24"/>
                <w:szCs w:val="24"/>
                <w:lang w:eastAsia="en-GB"/>
              </w:rPr>
            </w:pPr>
            <w:r w:rsidRPr="00EA4A23">
              <w:rPr>
                <w:rFonts w:ascii="Arial" w:eastAsia="Times New Roman" w:hAnsi="Arial" w:cs="Arial"/>
                <w:b/>
                <w:bCs/>
                <w:color w:val="000000"/>
                <w:sz w:val="24"/>
                <w:szCs w:val="24"/>
                <w:lang w:eastAsia="en-GB"/>
              </w:rPr>
              <w:t>1a</w:t>
            </w:r>
          </w:p>
        </w:tc>
        <w:tc>
          <w:tcPr>
            <w:tcW w:w="2123" w:type="dxa"/>
            <w:tcBorders>
              <w:top w:val="nil"/>
              <w:left w:val="nil"/>
              <w:bottom w:val="single" w:sz="4" w:space="0" w:color="auto"/>
              <w:right w:val="single" w:sz="4" w:space="0" w:color="auto"/>
            </w:tcBorders>
            <w:shd w:val="clear" w:color="auto" w:fill="D0CECE"/>
            <w:noWrap/>
            <w:vAlign w:val="center"/>
            <w:hideMark/>
          </w:tcPr>
          <w:p w14:paraId="6FB54B23" w14:textId="77777777" w:rsidR="00EA4A23" w:rsidRPr="00EA4A23" w:rsidRDefault="00EA4A23" w:rsidP="00EA4A23">
            <w:pPr>
              <w:spacing w:before="120" w:after="120"/>
              <w:ind w:left="0"/>
              <w:jc w:val="center"/>
              <w:rPr>
                <w:rFonts w:ascii="Arial" w:eastAsia="Times New Roman" w:hAnsi="Arial" w:cs="Arial"/>
                <w:b/>
                <w:bCs/>
                <w:color w:val="000000"/>
                <w:sz w:val="24"/>
                <w:szCs w:val="24"/>
                <w:lang w:eastAsia="en-GB"/>
              </w:rPr>
            </w:pPr>
            <w:r w:rsidRPr="00EA4A23">
              <w:rPr>
                <w:rFonts w:ascii="Arial" w:eastAsia="Times New Roman" w:hAnsi="Arial" w:cs="Arial"/>
                <w:b/>
                <w:bCs/>
                <w:color w:val="000000"/>
                <w:sz w:val="24"/>
                <w:szCs w:val="24"/>
                <w:lang w:eastAsia="en-GB"/>
              </w:rPr>
              <w:t>West Central</w:t>
            </w:r>
          </w:p>
        </w:tc>
        <w:tc>
          <w:tcPr>
            <w:tcW w:w="6085" w:type="dxa"/>
            <w:tcBorders>
              <w:top w:val="nil"/>
              <w:left w:val="nil"/>
              <w:bottom w:val="single" w:sz="4" w:space="0" w:color="auto"/>
              <w:right w:val="single" w:sz="8" w:space="0" w:color="auto"/>
            </w:tcBorders>
            <w:shd w:val="clear" w:color="auto" w:fill="auto"/>
            <w:vAlign w:val="center"/>
            <w:hideMark/>
          </w:tcPr>
          <w:p w14:paraId="1910668B" w14:textId="791A1146" w:rsidR="00EA4A23" w:rsidRPr="00EA4A23" w:rsidRDefault="00EA4A23" w:rsidP="007B0F7E">
            <w:pPr>
              <w:spacing w:before="120" w:after="120"/>
              <w:ind w:left="0"/>
              <w:jc w:val="left"/>
              <w:rPr>
                <w:rFonts w:ascii="Arial" w:eastAsia="Times New Roman" w:hAnsi="Arial" w:cs="Arial"/>
                <w:color w:val="222222"/>
                <w:sz w:val="24"/>
                <w:szCs w:val="24"/>
                <w:lang w:eastAsia="en-GB"/>
              </w:rPr>
            </w:pPr>
            <w:r w:rsidRPr="00EA4A23">
              <w:rPr>
                <w:rFonts w:ascii="Arial" w:eastAsia="Times New Roman" w:hAnsi="Arial" w:cs="Arial"/>
                <w:color w:val="222222"/>
                <w:sz w:val="24"/>
                <w:szCs w:val="24"/>
                <w:lang w:eastAsia="en-GB"/>
              </w:rPr>
              <w:t xml:space="preserve">Birmingham, Bromsgrove, Coventry, Dudley, </w:t>
            </w:r>
            <w:r w:rsidR="007B0F7E">
              <w:rPr>
                <w:rFonts w:ascii="Arial" w:eastAsia="Times New Roman" w:hAnsi="Arial" w:cs="Arial"/>
                <w:color w:val="222222"/>
                <w:sz w:val="24"/>
                <w:szCs w:val="24"/>
                <w:lang w:eastAsia="en-GB"/>
              </w:rPr>
              <w:t xml:space="preserve">County of </w:t>
            </w:r>
            <w:r w:rsidRPr="00EA4A23">
              <w:rPr>
                <w:rFonts w:ascii="Arial" w:eastAsia="Times New Roman" w:hAnsi="Arial" w:cs="Arial"/>
                <w:color w:val="222222"/>
                <w:sz w:val="24"/>
                <w:szCs w:val="24"/>
                <w:lang w:eastAsia="en-GB"/>
              </w:rPr>
              <w:t>Herefordshire, Malvern Hills, Redditch, Sandwell, Shropshire, Solihull, Telford and Wrekin, Walsall, Wolverhampton, Worcester, Wychavon, Wyre Forest</w:t>
            </w:r>
          </w:p>
        </w:tc>
      </w:tr>
    </w:tbl>
    <w:p w14:paraId="107E5A37" w14:textId="5A57BA4F" w:rsidR="00EA4A23" w:rsidRDefault="00EA4A23" w:rsidP="00EA4A23">
      <w:pPr>
        <w:rPr>
          <w:rFonts w:ascii="Arial" w:hAnsi="Arial" w:cs="Arial"/>
        </w:rPr>
      </w:pPr>
    </w:p>
    <w:p w14:paraId="729349BB" w14:textId="77777777" w:rsidR="00FE5DB7" w:rsidRPr="00EA4A23" w:rsidRDefault="00FE5DB7" w:rsidP="00EA4A23">
      <w:pPr>
        <w:rPr>
          <w:rFonts w:ascii="Arial" w:hAnsi="Arial" w:cs="Arial"/>
        </w:rPr>
        <w:sectPr w:rsidR="00FE5DB7" w:rsidRPr="00EA4A23" w:rsidSect="004A0541">
          <w:headerReference w:type="first" r:id="rId18"/>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lastRenderedPageBreak/>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411AC3CD" w14:textId="122E4BB5" w:rsidR="005D05B4" w:rsidRPr="001A08FE" w:rsidRDefault="005D05B4" w:rsidP="001A08FE">
      <w:pPr>
        <w:pStyle w:val="Body"/>
        <w:widowControl w:val="0"/>
        <w:ind w:left="0"/>
        <w:jc w:val="left"/>
        <w:rPr>
          <w:b/>
        </w:rPr>
      </w:pPr>
    </w:p>
    <w:p w14:paraId="3AD677B3" w14:textId="0192A303"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RNOs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34C19404" w:rsidR="00CB7C6E" w:rsidRPr="00EE3E7B" w:rsidRDefault="00CB7C6E" w:rsidP="002364BF">
            <w:pPr>
              <w:widowControl w:val="0"/>
              <w:ind w:left="0"/>
              <w:jc w:val="left"/>
              <w:rPr>
                <w:rFonts w:ascii="Arial" w:hAnsi="Arial" w:cs="Arial"/>
              </w:rPr>
            </w:pPr>
            <w:r w:rsidRPr="00DD26DF">
              <w:rPr>
                <w:rFonts w:ascii="Arial" w:hAnsi="Arial" w:cs="Arial"/>
                <w:b/>
              </w:rPr>
              <w:t xml:space="preserve">Tender Performance Expectation: </w:t>
            </w:r>
            <w:bookmarkStart w:id="6" w:name="_GoBack"/>
            <w:r w:rsidR="00670B25" w:rsidRPr="00670B25">
              <w:rPr>
                <w:rFonts w:ascii="Arial" w:hAnsi="Arial" w:cs="Arial"/>
                <w:highlight w:val="yellow"/>
              </w:rPr>
              <w:t>[REDACTED]</w:t>
            </w:r>
            <w:bookmarkEnd w:id="6"/>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tblLook w:val="04A0" w:firstRow="1" w:lastRow="0" w:firstColumn="1" w:lastColumn="0" w:noHBand="0" w:noVBand="1"/>
            </w:tblPr>
            <w:tblGrid>
              <w:gridCol w:w="3725"/>
              <w:gridCol w:w="3725"/>
            </w:tblGrid>
            <w:tr w:rsidR="00CB7C6E" w14:paraId="1AB09464" w14:textId="77777777" w:rsidTr="002364BF">
              <w:tc>
                <w:tcPr>
                  <w:tcW w:w="3725" w:type="dxa"/>
                </w:tcPr>
                <w:p w14:paraId="1CEC2B6A" w14:textId="77777777" w:rsidR="007958E1" w:rsidRDefault="00CB7C6E" w:rsidP="002C6459">
                  <w:pPr>
                    <w:widowControl w:val="0"/>
                    <w:spacing w:after="0"/>
                    <w:ind w:left="0"/>
                    <w:jc w:val="left"/>
                    <w:rPr>
                      <w:rFonts w:ascii="Arial" w:hAnsi="Arial" w:cs="Arial"/>
                      <w:sz w:val="18"/>
                      <w:szCs w:val="18"/>
                    </w:rPr>
                  </w:pPr>
                  <w:r w:rsidRPr="00EE3E7B">
                    <w:rPr>
                      <w:rFonts w:ascii="Arial" w:hAnsi="Arial" w:cs="Arial"/>
                      <w:sz w:val="18"/>
                      <w:szCs w:val="18"/>
                    </w:rPr>
                    <w:t>Months</w:t>
                  </w:r>
                </w:p>
                <w:p w14:paraId="13D4C58D" w14:textId="235BABC8" w:rsidR="004460EB" w:rsidRPr="00EE3E7B" w:rsidRDefault="004460EB" w:rsidP="00335D05">
                  <w:pPr>
                    <w:widowControl w:val="0"/>
                    <w:spacing w:after="0"/>
                    <w:ind w:left="0"/>
                    <w:jc w:val="left"/>
                    <w:rPr>
                      <w:rFonts w:ascii="Arial" w:hAnsi="Arial" w:cs="Arial"/>
                      <w:sz w:val="18"/>
                      <w:szCs w:val="18"/>
                    </w:rPr>
                  </w:pPr>
                  <w:r>
                    <w:rPr>
                      <w:rFonts w:ascii="Arial" w:hAnsi="Arial" w:cs="Arial"/>
                      <w:sz w:val="18"/>
                      <w:szCs w:val="18"/>
                    </w:rPr>
                    <w:t xml:space="preserve">(month 1 being the month in which the Start Cohort starts, and the following </w:t>
                  </w:r>
                  <w:r w:rsidR="00335D05">
                    <w:rPr>
                      <w:rFonts w:ascii="Arial" w:hAnsi="Arial" w:cs="Arial"/>
                      <w:sz w:val="18"/>
                      <w:szCs w:val="18"/>
                    </w:rPr>
                    <w:t>months</w:t>
                  </w:r>
                  <w:r>
                    <w:rPr>
                      <w:rFonts w:ascii="Arial" w:hAnsi="Arial" w:cs="Arial"/>
                      <w:sz w:val="18"/>
                      <w:szCs w:val="18"/>
                    </w:rPr>
                    <w:t xml:space="preserve"> to be read accordingly)</w:t>
                  </w:r>
                </w:p>
              </w:tc>
              <w:tc>
                <w:tcPr>
                  <w:tcW w:w="3725" w:type="dxa"/>
                </w:tcPr>
                <w:p w14:paraId="64AB6925" w14:textId="77777777" w:rsidR="00CB7C6E"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Performance Curve Percentage</w:t>
                  </w:r>
                </w:p>
                <w:p w14:paraId="1EED8FC1" w14:textId="0CE228B0" w:rsidR="00CB7C6E" w:rsidRPr="00EE3E7B" w:rsidRDefault="00CB7C6E" w:rsidP="006F06D2">
                  <w:pPr>
                    <w:widowControl w:val="0"/>
                    <w:spacing w:after="0"/>
                    <w:ind w:left="0"/>
                    <w:jc w:val="left"/>
                    <w:rPr>
                      <w:rFonts w:ascii="Arial" w:hAnsi="Arial" w:cs="Arial"/>
                      <w:sz w:val="18"/>
                      <w:szCs w:val="18"/>
                    </w:rPr>
                  </w:pPr>
                </w:p>
              </w:tc>
            </w:tr>
            <w:tr w:rsidR="007B534D" w:rsidRPr="00EE3E7B" w14:paraId="477F87EB" w14:textId="77777777" w:rsidTr="002364BF">
              <w:tc>
                <w:tcPr>
                  <w:tcW w:w="3725" w:type="dxa"/>
                </w:tcPr>
                <w:p w14:paraId="5A3FF303" w14:textId="5FD0DF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p>
              </w:tc>
              <w:tc>
                <w:tcPr>
                  <w:tcW w:w="3725" w:type="dxa"/>
                </w:tcPr>
                <w:p w14:paraId="625A9128" w14:textId="75CC9805"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0.05%</w:t>
                  </w:r>
                </w:p>
              </w:tc>
            </w:tr>
            <w:tr w:rsidR="007B534D" w:rsidRPr="00EE3E7B" w14:paraId="121292C7" w14:textId="77777777" w:rsidTr="002364BF">
              <w:tc>
                <w:tcPr>
                  <w:tcW w:w="3725" w:type="dxa"/>
                </w:tcPr>
                <w:p w14:paraId="6C003CF4" w14:textId="6D95879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2</w:t>
                  </w:r>
                </w:p>
              </w:tc>
              <w:tc>
                <w:tcPr>
                  <w:tcW w:w="3725" w:type="dxa"/>
                </w:tcPr>
                <w:p w14:paraId="602F4FBB" w14:textId="44F0F27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2364BF">
              <w:tc>
                <w:tcPr>
                  <w:tcW w:w="3725" w:type="dxa"/>
                </w:tcPr>
                <w:p w14:paraId="264EAC38" w14:textId="30622905"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3</w:t>
                  </w:r>
                </w:p>
              </w:tc>
              <w:tc>
                <w:tcPr>
                  <w:tcW w:w="3725" w:type="dxa"/>
                </w:tcPr>
                <w:p w14:paraId="3331A833" w14:textId="6A92F32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2364BF">
              <w:tc>
                <w:tcPr>
                  <w:tcW w:w="3725" w:type="dxa"/>
                </w:tcPr>
                <w:p w14:paraId="62331CF8" w14:textId="0634E84A"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4</w:t>
                  </w:r>
                </w:p>
              </w:tc>
              <w:tc>
                <w:tcPr>
                  <w:tcW w:w="3725" w:type="dxa"/>
                </w:tcPr>
                <w:p w14:paraId="5DEB41EA" w14:textId="22863DC3"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2364BF">
              <w:tc>
                <w:tcPr>
                  <w:tcW w:w="3725" w:type="dxa"/>
                </w:tcPr>
                <w:p w14:paraId="2A9B92D0" w14:textId="6506798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5</w:t>
                  </w:r>
                </w:p>
              </w:tc>
              <w:tc>
                <w:tcPr>
                  <w:tcW w:w="3725" w:type="dxa"/>
                </w:tcPr>
                <w:p w14:paraId="2D5C0BA9" w14:textId="12FC3696"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2364BF">
              <w:tc>
                <w:tcPr>
                  <w:tcW w:w="3725" w:type="dxa"/>
                </w:tcPr>
                <w:p w14:paraId="64D11051" w14:textId="3765D9B4"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6</w:t>
                  </w:r>
                </w:p>
              </w:tc>
              <w:tc>
                <w:tcPr>
                  <w:tcW w:w="3725" w:type="dxa"/>
                </w:tcPr>
                <w:p w14:paraId="436BEDDC" w14:textId="70C6DCA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2364BF">
              <w:tc>
                <w:tcPr>
                  <w:tcW w:w="3725" w:type="dxa"/>
                </w:tcPr>
                <w:p w14:paraId="40E29D42" w14:textId="36CD202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7</w:t>
                  </w:r>
                </w:p>
              </w:tc>
              <w:tc>
                <w:tcPr>
                  <w:tcW w:w="3725" w:type="dxa"/>
                </w:tcPr>
                <w:p w14:paraId="50B7D726" w14:textId="180CBDE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2364BF">
              <w:tc>
                <w:tcPr>
                  <w:tcW w:w="3725" w:type="dxa"/>
                </w:tcPr>
                <w:p w14:paraId="67A37A2B" w14:textId="5FB68FE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8</w:t>
                  </w:r>
                </w:p>
              </w:tc>
              <w:tc>
                <w:tcPr>
                  <w:tcW w:w="3725" w:type="dxa"/>
                </w:tcPr>
                <w:p w14:paraId="0592C447" w14:textId="3BDF084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2364BF">
              <w:tc>
                <w:tcPr>
                  <w:tcW w:w="3725" w:type="dxa"/>
                </w:tcPr>
                <w:p w14:paraId="2CD9C4DC" w14:textId="7B66A71C"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9</w:t>
                  </w:r>
                </w:p>
              </w:tc>
              <w:tc>
                <w:tcPr>
                  <w:tcW w:w="3725" w:type="dxa"/>
                </w:tcPr>
                <w:p w14:paraId="3961F8A6" w14:textId="764DB48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2364BF">
              <w:tc>
                <w:tcPr>
                  <w:tcW w:w="3725" w:type="dxa"/>
                </w:tcPr>
                <w:p w14:paraId="4588758F" w14:textId="4744329F"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10</w:t>
                  </w:r>
                </w:p>
              </w:tc>
              <w:tc>
                <w:tcPr>
                  <w:tcW w:w="3725" w:type="dxa"/>
                </w:tcPr>
                <w:p w14:paraId="1F12B78F" w14:textId="1E13A15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2364BF">
              <w:tc>
                <w:tcPr>
                  <w:tcW w:w="3725" w:type="dxa"/>
                </w:tcPr>
                <w:p w14:paraId="24A01388" w14:textId="330905F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11</w:t>
                  </w:r>
                </w:p>
              </w:tc>
              <w:tc>
                <w:tcPr>
                  <w:tcW w:w="3725" w:type="dxa"/>
                </w:tcPr>
                <w:p w14:paraId="2C1A2073" w14:textId="7221820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2364BF">
              <w:tc>
                <w:tcPr>
                  <w:tcW w:w="3725" w:type="dxa"/>
                </w:tcPr>
                <w:p w14:paraId="60A8E3D5" w14:textId="35F48658"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12</w:t>
                  </w:r>
                </w:p>
              </w:tc>
              <w:tc>
                <w:tcPr>
                  <w:tcW w:w="3725" w:type="dxa"/>
                </w:tcPr>
                <w:p w14:paraId="4A395AB7" w14:textId="0A858D2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2364BF">
              <w:tc>
                <w:tcPr>
                  <w:tcW w:w="3725" w:type="dxa"/>
                </w:tcPr>
                <w:p w14:paraId="5D3633C5" w14:textId="793949A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13</w:t>
                  </w:r>
                </w:p>
              </w:tc>
              <w:tc>
                <w:tcPr>
                  <w:tcW w:w="3725" w:type="dxa"/>
                </w:tcPr>
                <w:p w14:paraId="036CF415" w14:textId="4084BF8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2364BF">
              <w:tc>
                <w:tcPr>
                  <w:tcW w:w="3725" w:type="dxa"/>
                </w:tcPr>
                <w:p w14:paraId="1EA7EA07" w14:textId="7F563B40"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14</w:t>
                  </w:r>
                </w:p>
              </w:tc>
              <w:tc>
                <w:tcPr>
                  <w:tcW w:w="3725" w:type="dxa"/>
                </w:tcPr>
                <w:p w14:paraId="2AC9E34A" w14:textId="3FB5486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2364BF">
              <w:tc>
                <w:tcPr>
                  <w:tcW w:w="3725" w:type="dxa"/>
                </w:tcPr>
                <w:p w14:paraId="5A624A18" w14:textId="3F0A6396"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15</w:t>
                  </w:r>
                </w:p>
              </w:tc>
              <w:tc>
                <w:tcPr>
                  <w:tcW w:w="3725" w:type="dxa"/>
                </w:tcPr>
                <w:p w14:paraId="07C14F77" w14:textId="28A7A2DC"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2364BF">
              <w:tc>
                <w:tcPr>
                  <w:tcW w:w="3725" w:type="dxa"/>
                </w:tcPr>
                <w:p w14:paraId="12787BC2" w14:textId="2C03901B"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16</w:t>
                  </w:r>
                </w:p>
              </w:tc>
              <w:tc>
                <w:tcPr>
                  <w:tcW w:w="3725" w:type="dxa"/>
                </w:tcPr>
                <w:p w14:paraId="33306FB5" w14:textId="421FAD0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2364BF">
              <w:tc>
                <w:tcPr>
                  <w:tcW w:w="3725" w:type="dxa"/>
                </w:tcPr>
                <w:p w14:paraId="7CFD1F71" w14:textId="0DA23B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17</w:t>
                  </w:r>
                </w:p>
              </w:tc>
              <w:tc>
                <w:tcPr>
                  <w:tcW w:w="3725" w:type="dxa"/>
                </w:tcPr>
                <w:p w14:paraId="15AC2944" w14:textId="543E075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2364BF">
              <w:tc>
                <w:tcPr>
                  <w:tcW w:w="3725" w:type="dxa"/>
                </w:tcPr>
                <w:p w14:paraId="228DB1C7" w14:textId="144CA4C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18</w:t>
                  </w:r>
                </w:p>
              </w:tc>
              <w:tc>
                <w:tcPr>
                  <w:tcW w:w="3725" w:type="dxa"/>
                </w:tcPr>
                <w:p w14:paraId="30E9F0F8" w14:textId="6AAB681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2364BF">
              <w:tc>
                <w:tcPr>
                  <w:tcW w:w="3725" w:type="dxa"/>
                </w:tcPr>
                <w:p w14:paraId="0F605AF7" w14:textId="7A75AA6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3725" w:type="dxa"/>
                </w:tcPr>
                <w:p w14:paraId="7E8E6801" w14:textId="4CC641D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2364BF">
              <w:tc>
                <w:tcPr>
                  <w:tcW w:w="3725" w:type="dxa"/>
                </w:tcPr>
                <w:p w14:paraId="13B678B8" w14:textId="2A69790A" w:rsidR="007B534D" w:rsidRPr="00EE3E7B" w:rsidRDefault="007B534D" w:rsidP="007B534D">
                  <w:pPr>
                    <w:widowControl w:val="0"/>
                    <w:spacing w:after="0"/>
                    <w:ind w:left="0"/>
                    <w:jc w:val="left"/>
                    <w:rPr>
                      <w:rFonts w:ascii="Arial" w:hAnsi="Arial" w:cs="Arial"/>
                      <w:sz w:val="18"/>
                      <w:szCs w:val="18"/>
                    </w:rPr>
                  </w:pPr>
                  <w:r>
                    <w:rPr>
                      <w:rFonts w:ascii="Arial" w:hAnsi="Arial" w:cs="Arial"/>
                      <w:sz w:val="18"/>
                      <w:szCs w:val="18"/>
                    </w:rPr>
                    <w:t>20</w:t>
                  </w:r>
                </w:p>
              </w:tc>
              <w:tc>
                <w:tcPr>
                  <w:tcW w:w="3725" w:type="dxa"/>
                </w:tcPr>
                <w:p w14:paraId="5A41DE78" w14:textId="6CD94B2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2364BF">
              <w:tc>
                <w:tcPr>
                  <w:tcW w:w="3725" w:type="dxa"/>
                </w:tcPr>
                <w:p w14:paraId="4A2384BB" w14:textId="191B7517" w:rsidR="007B534D" w:rsidRDefault="007B534D" w:rsidP="007B534D">
                  <w:pPr>
                    <w:widowControl w:val="0"/>
                    <w:spacing w:after="0"/>
                    <w:ind w:left="0"/>
                    <w:jc w:val="left"/>
                    <w:rPr>
                      <w:rFonts w:ascii="Arial" w:hAnsi="Arial" w:cs="Arial"/>
                      <w:sz w:val="18"/>
                      <w:szCs w:val="18"/>
                    </w:rPr>
                  </w:pPr>
                  <w:r>
                    <w:rPr>
                      <w:rFonts w:ascii="Arial" w:hAnsi="Arial" w:cs="Arial"/>
                      <w:sz w:val="18"/>
                      <w:szCs w:val="18"/>
                    </w:rPr>
                    <w:t>21</w:t>
                  </w:r>
                </w:p>
              </w:tc>
              <w:tc>
                <w:tcPr>
                  <w:tcW w:w="3725" w:type="dxa"/>
                </w:tcPr>
                <w:p w14:paraId="4FA7DE90" w14:textId="67259DF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tblLook w:val="04A0" w:firstRow="1" w:lastRow="0" w:firstColumn="1" w:lastColumn="0" w:noHBand="0" w:noVBand="1"/>
            </w:tblPr>
            <w:tblGrid>
              <w:gridCol w:w="3725"/>
              <w:gridCol w:w="3725"/>
            </w:tblGrid>
            <w:tr w:rsidR="00CB7C6E" w14:paraId="0A220E5F" w14:textId="77777777" w:rsidTr="002364BF">
              <w:tc>
                <w:tcPr>
                  <w:tcW w:w="3725" w:type="dxa"/>
                </w:tcPr>
                <w:p w14:paraId="67B97855" w14:textId="77777777" w:rsidR="004460EB" w:rsidRDefault="00CB7C6E" w:rsidP="007958E1">
                  <w:pPr>
                    <w:widowControl w:val="0"/>
                    <w:spacing w:after="0"/>
                    <w:ind w:left="0"/>
                    <w:jc w:val="left"/>
                    <w:rPr>
                      <w:rFonts w:ascii="Arial" w:hAnsi="Arial" w:cs="Arial"/>
                      <w:sz w:val="18"/>
                      <w:szCs w:val="18"/>
                    </w:rPr>
                  </w:pPr>
                  <w:r w:rsidRPr="00EE3E7B">
                    <w:rPr>
                      <w:rFonts w:ascii="Arial" w:hAnsi="Arial" w:cs="Arial"/>
                      <w:sz w:val="18"/>
                      <w:szCs w:val="18"/>
                    </w:rPr>
                    <w:t>Months</w:t>
                  </w:r>
                </w:p>
                <w:p w14:paraId="653F6718" w14:textId="01F6DD40" w:rsidR="007958E1" w:rsidRPr="00EE3E7B" w:rsidRDefault="004460EB" w:rsidP="007958E1">
                  <w:pPr>
                    <w:widowControl w:val="0"/>
                    <w:spacing w:after="0"/>
                    <w:ind w:left="0"/>
                    <w:jc w:val="left"/>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r w:rsidR="00CB7C6E" w:rsidRPr="00EE3E7B">
                    <w:rPr>
                      <w:rFonts w:ascii="Arial" w:hAnsi="Arial" w:cs="Arial"/>
                      <w:sz w:val="18"/>
                      <w:szCs w:val="18"/>
                    </w:rPr>
                    <w:t xml:space="preserve"> </w:t>
                  </w:r>
                </w:p>
              </w:tc>
              <w:tc>
                <w:tcPr>
                  <w:tcW w:w="3725" w:type="dxa"/>
                </w:tcPr>
                <w:p w14:paraId="4C62ECC5"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Staging Percentage</w:t>
                  </w:r>
                </w:p>
              </w:tc>
            </w:tr>
            <w:tr w:rsidR="00CB7C6E" w14:paraId="671A8159" w14:textId="77777777" w:rsidTr="002364BF">
              <w:tc>
                <w:tcPr>
                  <w:tcW w:w="3725" w:type="dxa"/>
                </w:tcPr>
                <w:p w14:paraId="578E0CF4"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 – 12</w:t>
                  </w:r>
                </w:p>
              </w:tc>
              <w:tc>
                <w:tcPr>
                  <w:tcW w:w="3725" w:type="dxa"/>
                </w:tcPr>
                <w:p w14:paraId="7F93E08D"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85%</w:t>
                  </w:r>
                </w:p>
              </w:tc>
            </w:tr>
            <w:tr w:rsidR="00CB7C6E" w14:paraId="30E66E75" w14:textId="77777777" w:rsidTr="002364BF">
              <w:tc>
                <w:tcPr>
                  <w:tcW w:w="3725" w:type="dxa"/>
                </w:tcPr>
                <w:p w14:paraId="7EE1248C"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13 – 24</w:t>
                  </w:r>
                </w:p>
              </w:tc>
              <w:tc>
                <w:tcPr>
                  <w:tcW w:w="3725" w:type="dxa"/>
                </w:tcPr>
                <w:p w14:paraId="1E43FA4F"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90%</w:t>
                  </w:r>
                </w:p>
              </w:tc>
            </w:tr>
            <w:tr w:rsidR="00CB7C6E" w14:paraId="7C83A1F3" w14:textId="77777777" w:rsidTr="002364BF">
              <w:tc>
                <w:tcPr>
                  <w:tcW w:w="3725" w:type="dxa"/>
                </w:tcPr>
                <w:p w14:paraId="13285C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25 – 36</w:t>
                  </w:r>
                </w:p>
              </w:tc>
              <w:tc>
                <w:tcPr>
                  <w:tcW w:w="3725" w:type="dxa"/>
                </w:tcPr>
                <w:p w14:paraId="0E70128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100%</w:t>
                  </w:r>
                </w:p>
              </w:tc>
            </w:tr>
            <w:tr w:rsidR="00CB7C6E" w14:paraId="2C619E33" w14:textId="77777777" w:rsidTr="002364BF">
              <w:tc>
                <w:tcPr>
                  <w:tcW w:w="3725" w:type="dxa"/>
                </w:tcPr>
                <w:p w14:paraId="60E8F0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lastRenderedPageBreak/>
                    <w:t>37 – 48</w:t>
                  </w:r>
                </w:p>
              </w:tc>
              <w:tc>
                <w:tcPr>
                  <w:tcW w:w="3725" w:type="dxa"/>
                </w:tcPr>
                <w:p w14:paraId="635E1BE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r w:rsidR="00CB7C6E" w14:paraId="2622CA05" w14:textId="77777777" w:rsidTr="002364BF">
              <w:tc>
                <w:tcPr>
                  <w:tcW w:w="3725" w:type="dxa"/>
                </w:tcPr>
                <w:p w14:paraId="37FEDB3A"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49 – 60</w:t>
                  </w:r>
                </w:p>
              </w:tc>
              <w:tc>
                <w:tcPr>
                  <w:tcW w:w="3725" w:type="dxa"/>
                </w:tcPr>
                <w:p w14:paraId="472D0B9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Minimum Performance Expectation, relevant Performance Curve 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88185D">
      <w:pPr>
        <w:pStyle w:val="SchdLevel2"/>
        <w:widowControl w:val="0"/>
        <w:tabs>
          <w:tab w:val="clear" w:pos="720"/>
        </w:tabs>
        <w:ind w:left="851" w:hanging="851"/>
        <w:rPr>
          <w:sz w:val="22"/>
          <w:szCs w:val="22"/>
        </w:rPr>
      </w:pPr>
      <w:r>
        <w:rPr>
          <w:sz w:val="22"/>
          <w:szCs w:val="22"/>
        </w:rPr>
        <w:t>The Authority shall calculate the TRNOs</w:t>
      </w:r>
      <w:r w:rsidR="00C527DD">
        <w:rPr>
          <w:sz w:val="22"/>
          <w:szCs w:val="22"/>
        </w:rPr>
        <w:t xml:space="preserve"> at the Performance Measurement Point by 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7" w:name="_DV_M1517"/>
      <w:bookmarkStart w:id="8" w:name="_DV_M1518"/>
      <w:bookmarkStart w:id="9" w:name="_DV_M1519"/>
      <w:bookmarkStart w:id="10" w:name="_DV_M1520"/>
      <w:bookmarkStart w:id="11" w:name="_DV_M1521"/>
      <w:bookmarkStart w:id="12" w:name="_DV_M1522"/>
      <w:bookmarkStart w:id="13" w:name="_DV_M1523"/>
      <w:bookmarkStart w:id="14" w:name="_DV_M1524"/>
      <w:bookmarkStart w:id="15" w:name="_DV_M1525"/>
      <w:bookmarkStart w:id="16" w:name="_DV_M1526"/>
      <w:bookmarkStart w:id="17" w:name="_DV_M1527"/>
      <w:bookmarkStart w:id="18" w:name="_DV_M1528"/>
      <w:bookmarkStart w:id="19" w:name="_Ref464813518"/>
      <w:bookmarkEnd w:id="7"/>
      <w:bookmarkEnd w:id="8"/>
      <w:bookmarkEnd w:id="9"/>
      <w:bookmarkEnd w:id="10"/>
      <w:bookmarkEnd w:id="11"/>
      <w:bookmarkEnd w:id="12"/>
      <w:bookmarkEnd w:id="13"/>
      <w:bookmarkEnd w:id="14"/>
      <w:bookmarkEnd w:id="15"/>
      <w:bookmarkEnd w:id="16"/>
      <w:bookmarkEnd w:id="17"/>
      <w:bookmarkEnd w:id="18"/>
      <w:r w:rsidRPr="0088185D">
        <w:rPr>
          <w:rFonts w:cs="Arial"/>
          <w:b w:val="0"/>
          <w:color w:val="365F91"/>
          <w:sz w:val="32"/>
          <w:szCs w:val="22"/>
        </w:rPr>
        <w:t>Customer Service Standards</w:t>
      </w:r>
      <w:bookmarkEnd w:id="19"/>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0"/>
      </w:tblGrid>
      <w:tr w:rsidR="005D05B4" w:rsidRPr="001343F8" w14:paraId="0E3CFF76" w14:textId="77777777" w:rsidTr="00E2521C">
        <w:tc>
          <w:tcPr>
            <w:tcW w:w="9810" w:type="dxa"/>
          </w:tcPr>
          <w:p w14:paraId="25DA7E08" w14:textId="77777777" w:rsidR="005D05B4" w:rsidRPr="001343F8" w:rsidRDefault="005D05B4" w:rsidP="00A53784">
            <w:pPr>
              <w:widowControl w:val="0"/>
              <w:jc w:val="left"/>
              <w:rPr>
                <w:rFonts w:ascii="Arial" w:hAnsi="Arial" w:cs="Arial"/>
                <w:b/>
              </w:rPr>
            </w:pPr>
            <w:r w:rsidRPr="00C6654E">
              <w:rPr>
                <w:rFonts w:ascii="Arial" w:hAnsi="Arial" w:cs="Arial"/>
                <w:b/>
              </w:rPr>
              <w:t>CUSTOMER SERVICE STANDARDS</w:t>
            </w:r>
          </w:p>
          <w:p w14:paraId="4A21D033" w14:textId="77777777" w:rsidR="005D05B4" w:rsidRPr="001343F8" w:rsidRDefault="005D05B4" w:rsidP="00A53784">
            <w:pPr>
              <w:widowControl w:val="0"/>
              <w:jc w:val="left"/>
              <w:rPr>
                <w:rFonts w:ascii="Arial" w:hAnsi="Arial" w:cs="Arial"/>
                <w:b/>
              </w:rPr>
            </w:pPr>
          </w:p>
        </w:tc>
      </w:tr>
      <w:tr w:rsidR="005D05B4" w:rsidRPr="001343F8" w14:paraId="7FBF9B15" w14:textId="77777777" w:rsidTr="00E2521C">
        <w:tc>
          <w:tcPr>
            <w:tcW w:w="9810" w:type="dxa"/>
          </w:tcPr>
          <w:p w14:paraId="5520F78E" w14:textId="39D672A2" w:rsidR="005D05B4" w:rsidRPr="001343F8" w:rsidRDefault="005D05B4" w:rsidP="00A53784">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sidR="004654E3">
              <w:rPr>
                <w:rFonts w:cs="Arial"/>
                <w:b/>
                <w:sz w:val="22"/>
                <w:szCs w:val="22"/>
              </w:rPr>
              <w:t>s</w:t>
            </w:r>
          </w:p>
          <w:p w14:paraId="3E242AAA" w14:textId="77777777" w:rsidR="00F3198C" w:rsidRPr="00C6654E" w:rsidRDefault="005D05B4" w:rsidP="00F3198C">
            <w:pPr>
              <w:pStyle w:val="NoteLevel1"/>
              <w:widowControl w:val="0"/>
              <w:numPr>
                <w:ilvl w:val="0"/>
                <w:numId w:val="0"/>
              </w:numPr>
              <w:spacing w:line="240" w:lineRule="auto"/>
              <w:ind w:left="1026" w:hanging="992"/>
              <w:jc w:val="left"/>
              <w:rPr>
                <w:rFonts w:cs="Arial"/>
                <w:b/>
                <w:sz w:val="22"/>
                <w:szCs w:val="22"/>
              </w:rPr>
            </w:pPr>
            <w:r w:rsidRPr="001343F8">
              <w:rPr>
                <w:rFonts w:cs="Arial"/>
                <w:b/>
                <w:sz w:val="22"/>
                <w:szCs w:val="22"/>
              </w:rPr>
              <w:t xml:space="preserve">CSS 1: </w:t>
            </w:r>
            <w:r w:rsidR="00F3198C">
              <w:rPr>
                <w:rFonts w:cs="Arial"/>
                <w:b/>
                <w:sz w:val="22"/>
                <w:szCs w:val="22"/>
              </w:rPr>
              <w:t>Providers must ensure that a Face to Face Initial Meeting is conducted with a Participant and a start is recorded on ICT systems as a minimum:</w:t>
            </w:r>
            <w:r w:rsidR="00F3198C">
              <w:rPr>
                <w:rFonts w:cs="Arial"/>
                <w:b/>
                <w:sz w:val="22"/>
                <w:szCs w:val="22"/>
              </w:rPr>
              <w:br/>
              <w:t xml:space="preserve">(a) 85% of cases within 30 working days of referral and </w:t>
            </w:r>
            <w:r w:rsidR="00F3198C">
              <w:rPr>
                <w:rFonts w:cs="Arial"/>
                <w:b/>
                <w:sz w:val="22"/>
                <w:szCs w:val="22"/>
              </w:rPr>
              <w:br/>
            </w:r>
            <w:r w:rsidR="00F3198C" w:rsidRPr="00C6654E">
              <w:rPr>
                <w:rFonts w:cs="Arial"/>
                <w:b/>
                <w:sz w:val="22"/>
                <w:szCs w:val="22"/>
              </w:rPr>
              <w:t xml:space="preserve">(b) 70% of cases within 15 working days of referral. </w:t>
            </w:r>
          </w:p>
          <w:p w14:paraId="79CEDA9D"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CCS 2: For all Participants who ‘Start’ on the programme an initial Diagnostic Assessment must be completed and recorded within 8 weeks of the referral. </w:t>
            </w:r>
          </w:p>
          <w:p w14:paraId="184DED7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3: For all Participants who ‘Start’ on the programme an Initial SMART Action Plan must be completed and signed by the Provider and the Participant within 8 weeks of the referral. </w:t>
            </w:r>
          </w:p>
          <w:p w14:paraId="7F3B466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4: For all Participants, the Provider must deliver 1-2-1 support at least fortnightly.</w:t>
            </w:r>
          </w:p>
          <w:p w14:paraId="5093F814"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5: For all Participants, the Provider must conduct a 1-2-1 Face to Face review meeting no less frequently than every 4 weeks. </w:t>
            </w:r>
          </w:p>
          <w:p w14:paraId="619557C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6: For all Participants the Provider must formally reassess the Diagnostic Assessment no less frequently than every 4 months. This must include evaluation of the Participant’s circumstances/barriers, with agreed next steps reviewed and recorded.</w:t>
            </w:r>
          </w:p>
          <w:p w14:paraId="172DB87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7: For all Participants the Provider must review and update the SMART Action Plan no less frequently than every 4 weeks. Action Plans must be signed by both parties and include agreed next steps and activities reflective of Participant and Provider </w:t>
            </w:r>
            <w:r w:rsidRPr="00C6654E">
              <w:rPr>
                <w:rFonts w:cs="Arial"/>
                <w:b/>
                <w:sz w:val="22"/>
                <w:szCs w:val="22"/>
              </w:rPr>
              <w:lastRenderedPageBreak/>
              <w:t>activity and the Participants Diagnostic Assessment.</w:t>
            </w:r>
          </w:p>
          <w:p w14:paraId="6CC5EA6F" w14:textId="6FA8A1A6" w:rsidR="005D05B4" w:rsidRPr="00F3198C"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8: Providers are required to achieve a high overall Customer Satisfaction rate based on a Customer Satisfaction Survey as detailed in paragraphs 1.32 – 1.33 in this Specification. Success will be measured relative to other CPAs.</w:t>
            </w:r>
          </w:p>
        </w:tc>
      </w:tr>
    </w:tbl>
    <w:p w14:paraId="11387CFE" w14:textId="77777777" w:rsidR="005D05B4" w:rsidRPr="001343F8" w:rsidRDefault="005D05B4" w:rsidP="00A53784">
      <w:pPr>
        <w:widowControl w:val="0"/>
        <w:spacing w:after="220"/>
        <w:ind w:left="851" w:hanging="851"/>
        <w:jc w:val="left"/>
        <w:rPr>
          <w:rFonts w:ascii="Arial" w:hAnsi="Arial" w:cs="Arial"/>
          <w:b/>
        </w:rPr>
      </w:pPr>
    </w:p>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On completion of each review by the Authority, the Supplier will be awarded an assurance </w:t>
      </w:r>
      <w:r w:rsidRPr="00741476">
        <w:rPr>
          <w:rFonts w:cs="Arial"/>
          <w:sz w:val="22"/>
          <w:szCs w:val="22"/>
        </w:rPr>
        <w:lastRenderedPageBreak/>
        <w:t>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timescale for a subsequent review is determined at the sole discretion of the 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670B25"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19"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20"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w:t>
      </w:r>
      <w:r w:rsidRPr="00741476">
        <w:rPr>
          <w:rFonts w:cs="Arial"/>
          <w:sz w:val="22"/>
          <w:szCs w:val="22"/>
        </w:rPr>
        <w:lastRenderedPageBreak/>
        <w:t>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20"/>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8911"/>
      </w:tblGrid>
      <w:tr w:rsidR="005D05B4" w:rsidRPr="00741476" w14:paraId="69863BC2" w14:textId="77777777" w:rsidTr="00E2521C">
        <w:tc>
          <w:tcPr>
            <w:tcW w:w="9242" w:type="dxa"/>
          </w:tcPr>
          <w:p w14:paraId="050A0838" w14:textId="72EAEE42" w:rsidR="005D05B4" w:rsidRPr="00741476" w:rsidRDefault="005D05B4" w:rsidP="00A53784">
            <w:pPr>
              <w:widowControl w:val="0"/>
              <w:spacing w:after="220" w:line="240" w:lineRule="auto"/>
              <w:jc w:val="left"/>
              <w:rPr>
                <w:rFonts w:ascii="Arial" w:hAnsi="Arial" w:cs="Arial"/>
                <w:b/>
              </w:rPr>
            </w:pPr>
            <w:r w:rsidRPr="00741476">
              <w:rPr>
                <w:rFonts w:ascii="Arial" w:hAnsi="Arial" w:cs="Arial"/>
                <w:b/>
              </w:rPr>
              <w:lastRenderedPageBreak/>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43095BEA" w14:textId="596AA41E" w:rsidR="005D05B4" w:rsidRDefault="005D05B4" w:rsidP="006F06D2">
            <w:pPr>
              <w:pStyle w:val="SchdLevel1Heading"/>
              <w:keepNext w:val="0"/>
              <w:widowControl w:val="0"/>
              <w:numPr>
                <w:ilvl w:val="0"/>
                <w:numId w:val="0"/>
              </w:numPr>
              <w:spacing w:after="220" w:line="240" w:lineRule="auto"/>
              <w:ind w:left="360"/>
              <w:jc w:val="left"/>
              <w:rPr>
                <w:rFonts w:cs="Arial"/>
                <w:sz w:val="22"/>
                <w:szCs w:val="22"/>
              </w:rPr>
            </w:pPr>
          </w:p>
          <w:p w14:paraId="6CEA09C8" w14:textId="468AD027" w:rsidR="0018280B" w:rsidRPr="0018280B" w:rsidRDefault="0018280B" w:rsidP="0018280B">
            <w:pPr>
              <w:pStyle w:val="ListParagraph"/>
              <w:numPr>
                <w:ilvl w:val="0"/>
                <w:numId w:val="101"/>
              </w:numPr>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61D9F71A" w:rsidR="005D05B4" w:rsidRDefault="005D05B4" w:rsidP="00A53784">
      <w:pPr>
        <w:widowControl w:val="0"/>
        <w:spacing w:after="220"/>
        <w:ind w:left="720" w:hanging="720"/>
        <w:jc w:val="left"/>
        <w:rPr>
          <w:rFonts w:ascii="Arial" w:hAnsi="Arial" w:cs="Arial"/>
        </w:rPr>
      </w:pP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788" w:type="dxa"/>
        <w:tblInd w:w="851" w:type="dxa"/>
        <w:tblLook w:val="04A0" w:firstRow="1" w:lastRow="0" w:firstColumn="1" w:lastColumn="0" w:noHBand="0" w:noVBand="1"/>
      </w:tblPr>
      <w:tblGrid>
        <w:gridCol w:w="2121"/>
        <w:gridCol w:w="6667"/>
      </w:tblGrid>
      <w:tr w:rsidR="00812C81" w14:paraId="1E10A0FA" w14:textId="77777777" w:rsidTr="00812C81">
        <w:trPr>
          <w:trHeight w:val="559"/>
        </w:trPr>
        <w:tc>
          <w:tcPr>
            <w:tcW w:w="2121" w:type="dxa"/>
          </w:tcPr>
          <w:p w14:paraId="41C08E48" w14:textId="402AA72F" w:rsidR="00812C81" w:rsidRPr="006579B1" w:rsidRDefault="00D90ED9" w:rsidP="00D90ED9">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Month</w:t>
            </w:r>
          </w:p>
        </w:tc>
        <w:tc>
          <w:tcPr>
            <w:tcW w:w="6667" w:type="dxa"/>
          </w:tcPr>
          <w:p w14:paraId="16FE27F1" w14:textId="002C7852" w:rsidR="00812C81" w:rsidRPr="006579B1" w:rsidRDefault="003833A6" w:rsidP="00380877">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Standard</w:t>
            </w:r>
          </w:p>
          <w:p w14:paraId="131F4A08" w14:textId="5C52942B" w:rsidR="006B5FE3" w:rsidRPr="006579B1" w:rsidRDefault="006B5FE3" w:rsidP="001E1479">
            <w:pPr>
              <w:pStyle w:val="SchdLevel1Heading"/>
              <w:keepNext w:val="0"/>
              <w:widowControl w:val="0"/>
              <w:numPr>
                <w:ilvl w:val="0"/>
                <w:numId w:val="0"/>
              </w:numPr>
              <w:spacing w:after="220" w:line="240" w:lineRule="auto"/>
              <w:jc w:val="left"/>
              <w:rPr>
                <w:rFonts w:cs="Arial"/>
                <w:sz w:val="22"/>
                <w:szCs w:val="22"/>
              </w:rPr>
            </w:pPr>
          </w:p>
        </w:tc>
      </w:tr>
      <w:tr w:rsidR="00812C81" w14:paraId="35EC7E88" w14:textId="77777777" w:rsidTr="00812C81">
        <w:trPr>
          <w:trHeight w:val="572"/>
        </w:trPr>
        <w:tc>
          <w:tcPr>
            <w:tcW w:w="2121" w:type="dxa"/>
          </w:tcPr>
          <w:p w14:paraId="7EFC49D8" w14:textId="00CFB79F" w:rsidR="00812C81" w:rsidRPr="006579B1" w:rsidRDefault="00812C81" w:rsidP="00380877">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w:t>
            </w:r>
          </w:p>
        </w:tc>
        <w:tc>
          <w:tcPr>
            <w:tcW w:w="6667" w:type="dxa"/>
          </w:tcPr>
          <w:p w14:paraId="2FA9D80F" w14:textId="016023F6" w:rsidR="00812C81"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1E1479" w:rsidRPr="006579B1">
              <w:rPr>
                <w:rFonts w:cs="Arial"/>
                <w:b w:val="0"/>
                <w:sz w:val="22"/>
                <w:szCs w:val="22"/>
              </w:rPr>
              <w:t xml:space="preserve">Supplier and Sub-contractor </w:t>
            </w:r>
            <w:r w:rsidR="00F92D7C" w:rsidRPr="006579B1">
              <w:rPr>
                <w:rFonts w:cs="Arial"/>
                <w:b w:val="0"/>
                <w:sz w:val="22"/>
                <w:szCs w:val="22"/>
              </w:rPr>
              <w:t>FTE</w:t>
            </w:r>
            <w:r w:rsidR="006E5892" w:rsidRPr="006579B1">
              <w:rPr>
                <w:rFonts w:cs="Arial"/>
                <w:b w:val="0"/>
                <w:sz w:val="22"/>
                <w:szCs w:val="22"/>
              </w:rPr>
              <w:t xml:space="preserve"> used in the delivery of the Agreement, per the Supplier’s declared staff</w:t>
            </w:r>
            <w:r w:rsidR="00376FCD" w:rsidRPr="006579B1">
              <w:rPr>
                <w:rFonts w:cs="Arial"/>
                <w:b w:val="0"/>
                <w:sz w:val="22"/>
                <w:szCs w:val="22"/>
              </w:rPr>
              <w:t>ing</w:t>
            </w:r>
            <w:r w:rsidR="006E5892" w:rsidRPr="006579B1">
              <w:rPr>
                <w:rFonts w:cs="Arial"/>
                <w:b w:val="0"/>
                <w:sz w:val="22"/>
                <w:szCs w:val="22"/>
              </w:rPr>
              <w:t xml:space="preserve"> </w:t>
            </w:r>
            <w:r w:rsidR="00376FCD" w:rsidRPr="006579B1">
              <w:rPr>
                <w:rFonts w:cs="Arial"/>
                <w:b w:val="0"/>
                <w:sz w:val="22"/>
                <w:szCs w:val="22"/>
              </w:rPr>
              <w:t>levels</w:t>
            </w:r>
            <w:r w:rsidR="006E5892" w:rsidRPr="006579B1">
              <w:rPr>
                <w:rFonts w:cs="Arial"/>
                <w:b w:val="0"/>
                <w:sz w:val="22"/>
                <w:szCs w:val="22"/>
              </w:rPr>
              <w:t xml:space="preserve"> </w:t>
            </w:r>
            <w:r w:rsidR="001E1479" w:rsidRPr="006579B1">
              <w:rPr>
                <w:rFonts w:cs="Arial"/>
                <w:b w:val="0"/>
                <w:sz w:val="22"/>
                <w:szCs w:val="22"/>
              </w:rPr>
              <w:t>in</w:t>
            </w:r>
            <w:r w:rsidR="006E5892" w:rsidRPr="006579B1">
              <w:rPr>
                <w:rFonts w:cs="Arial"/>
                <w:b w:val="0"/>
                <w:sz w:val="22"/>
                <w:szCs w:val="22"/>
              </w:rPr>
              <w:t xml:space="preserve"> its BAFO</w:t>
            </w:r>
          </w:p>
        </w:tc>
      </w:tr>
      <w:tr w:rsidR="00376FCD" w14:paraId="7A88F0EE" w14:textId="77777777" w:rsidTr="00812C81">
        <w:trPr>
          <w:trHeight w:val="559"/>
        </w:trPr>
        <w:tc>
          <w:tcPr>
            <w:tcW w:w="2121" w:type="dxa"/>
          </w:tcPr>
          <w:p w14:paraId="4CBEFBED" w14:textId="3BC3FC05"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2</w:t>
            </w:r>
          </w:p>
        </w:tc>
        <w:tc>
          <w:tcPr>
            <w:tcW w:w="6667" w:type="dxa"/>
          </w:tcPr>
          <w:p w14:paraId="55D388BD" w14:textId="1059B57D" w:rsidR="00376FCD"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376FCD" w:rsidRPr="006579B1">
              <w:rPr>
                <w:rFonts w:cs="Arial"/>
                <w:b w:val="0"/>
                <w:sz w:val="22"/>
                <w:szCs w:val="22"/>
              </w:rPr>
              <w:t>Supplier and Sub-contractor FTE used in the delivery of the Agreement, per the Supplier’s declared staffing levels in its BAFO</w:t>
            </w:r>
          </w:p>
        </w:tc>
      </w:tr>
      <w:tr w:rsidR="00376FCD" w14:paraId="13B15CEE" w14:textId="77777777" w:rsidTr="00812C81">
        <w:trPr>
          <w:trHeight w:val="559"/>
        </w:trPr>
        <w:tc>
          <w:tcPr>
            <w:tcW w:w="2121" w:type="dxa"/>
          </w:tcPr>
          <w:p w14:paraId="728FD1F8" w14:textId="68A81A91"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3</w:t>
            </w:r>
          </w:p>
        </w:tc>
        <w:tc>
          <w:tcPr>
            <w:tcW w:w="6667" w:type="dxa"/>
          </w:tcPr>
          <w:p w14:paraId="12770C82" w14:textId="787D20B2" w:rsidR="00376FCD"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376FCD" w:rsidRPr="006579B1">
              <w:rPr>
                <w:rFonts w:cs="Arial"/>
                <w:b w:val="0"/>
                <w:sz w:val="22"/>
                <w:szCs w:val="22"/>
              </w:rPr>
              <w:t>Supplier and Sub-contractor FTE used in the delivery of the Agreement, per the Supplier’s declared staffing levels in its BAFO</w:t>
            </w:r>
          </w:p>
        </w:tc>
      </w:tr>
      <w:tr w:rsidR="00376FCD" w14:paraId="7B9F7B24" w14:textId="77777777" w:rsidTr="00812C81">
        <w:trPr>
          <w:trHeight w:val="559"/>
        </w:trPr>
        <w:tc>
          <w:tcPr>
            <w:tcW w:w="2121" w:type="dxa"/>
          </w:tcPr>
          <w:p w14:paraId="1646D28E" w14:textId="2A8E2B80"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softHyphen/>
              <w:t>4</w:t>
            </w:r>
          </w:p>
        </w:tc>
        <w:tc>
          <w:tcPr>
            <w:tcW w:w="6667" w:type="dxa"/>
          </w:tcPr>
          <w:p w14:paraId="36085EFD" w14:textId="4B7FD538" w:rsidR="00376FCD"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376FCD" w:rsidRPr="006579B1">
              <w:rPr>
                <w:rFonts w:cs="Arial"/>
                <w:b w:val="0"/>
                <w:sz w:val="22"/>
                <w:szCs w:val="22"/>
              </w:rPr>
              <w:t>Supplier and Sub-contractor FTE used in the delivery of the Agreement, per the Supplier’s declared staffing levels in its BAFO</w:t>
            </w:r>
          </w:p>
        </w:tc>
      </w:tr>
      <w:tr w:rsidR="00376FCD" w14:paraId="12A12CDA" w14:textId="77777777" w:rsidTr="00812C81">
        <w:trPr>
          <w:trHeight w:val="572"/>
        </w:trPr>
        <w:tc>
          <w:tcPr>
            <w:tcW w:w="2121" w:type="dxa"/>
          </w:tcPr>
          <w:p w14:paraId="3044164E" w14:textId="4701BA2D"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5</w:t>
            </w:r>
          </w:p>
        </w:tc>
        <w:tc>
          <w:tcPr>
            <w:tcW w:w="6667" w:type="dxa"/>
          </w:tcPr>
          <w:p w14:paraId="3F187C7D" w14:textId="2A0C31DA" w:rsidR="00376FCD"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376FCD" w:rsidRPr="006579B1">
              <w:rPr>
                <w:rFonts w:cs="Arial"/>
                <w:b w:val="0"/>
                <w:sz w:val="22"/>
                <w:szCs w:val="22"/>
              </w:rPr>
              <w:t>Supplier and Sub-contractor FTE used in the delivery of the Agreement, per the Supplier’s declared staffing levels in its BAFO</w:t>
            </w:r>
          </w:p>
        </w:tc>
      </w:tr>
      <w:tr w:rsidR="00376FCD" w14:paraId="41675844" w14:textId="77777777" w:rsidTr="00812C81">
        <w:trPr>
          <w:trHeight w:val="559"/>
        </w:trPr>
        <w:tc>
          <w:tcPr>
            <w:tcW w:w="2121" w:type="dxa"/>
          </w:tcPr>
          <w:p w14:paraId="4C4258DF" w14:textId="28502325"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6</w:t>
            </w:r>
          </w:p>
        </w:tc>
        <w:tc>
          <w:tcPr>
            <w:tcW w:w="6667" w:type="dxa"/>
          </w:tcPr>
          <w:p w14:paraId="28584D43" w14:textId="4F3D4A22" w:rsidR="00376FCD"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376FCD" w:rsidRPr="006579B1">
              <w:rPr>
                <w:rFonts w:cs="Arial"/>
                <w:b w:val="0"/>
                <w:sz w:val="22"/>
                <w:szCs w:val="22"/>
              </w:rPr>
              <w:t>Supplier and Sub-contractor FTE used in the delivery of the Agreement, per the Supplier’s declared staffing levels in its BAFO</w:t>
            </w:r>
          </w:p>
        </w:tc>
      </w:tr>
      <w:tr w:rsidR="00376FCD" w14:paraId="26238F54" w14:textId="77777777" w:rsidTr="00812C81">
        <w:trPr>
          <w:trHeight w:val="559"/>
        </w:trPr>
        <w:tc>
          <w:tcPr>
            <w:tcW w:w="2121" w:type="dxa"/>
          </w:tcPr>
          <w:p w14:paraId="34B1F07C" w14:textId="01E21451"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7</w:t>
            </w:r>
          </w:p>
        </w:tc>
        <w:tc>
          <w:tcPr>
            <w:tcW w:w="6667" w:type="dxa"/>
          </w:tcPr>
          <w:p w14:paraId="29639F56" w14:textId="48B33D0C" w:rsidR="00376FCD"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376FCD" w:rsidRPr="006579B1">
              <w:rPr>
                <w:rFonts w:cs="Arial"/>
                <w:b w:val="0"/>
                <w:sz w:val="22"/>
                <w:szCs w:val="22"/>
              </w:rPr>
              <w:t>Supplier and Sub-contractor FTE used in the delivery of the Agreement, per the Supplier’s declared staffing levels in its BAFO</w:t>
            </w:r>
          </w:p>
        </w:tc>
      </w:tr>
      <w:tr w:rsidR="00376FCD" w:rsidRPr="00380877" w14:paraId="10B13011" w14:textId="77777777" w:rsidTr="00812C81">
        <w:trPr>
          <w:trHeight w:val="559"/>
        </w:trPr>
        <w:tc>
          <w:tcPr>
            <w:tcW w:w="2121" w:type="dxa"/>
          </w:tcPr>
          <w:p w14:paraId="753579F2" w14:textId="17CFAEA4"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8</w:t>
            </w:r>
          </w:p>
        </w:tc>
        <w:tc>
          <w:tcPr>
            <w:tcW w:w="6667" w:type="dxa"/>
          </w:tcPr>
          <w:p w14:paraId="1F94208B" w14:textId="09CE522F" w:rsidR="00376FCD"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376FCD" w:rsidRPr="006579B1">
              <w:rPr>
                <w:rFonts w:cs="Arial"/>
                <w:b w:val="0"/>
                <w:sz w:val="22"/>
                <w:szCs w:val="22"/>
              </w:rPr>
              <w:t>Supplier and Sub-contractor FTE used in the delivery of the Agreement, per the Supplier’s declared staffing levels in its BAFO</w:t>
            </w:r>
          </w:p>
        </w:tc>
      </w:tr>
      <w:tr w:rsidR="00376FCD" w:rsidRPr="00380877" w14:paraId="134A6171" w14:textId="77777777" w:rsidTr="00812C81">
        <w:trPr>
          <w:trHeight w:val="559"/>
        </w:trPr>
        <w:tc>
          <w:tcPr>
            <w:tcW w:w="2121" w:type="dxa"/>
          </w:tcPr>
          <w:p w14:paraId="788DBF29" w14:textId="3B1AE8EF"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lastRenderedPageBreak/>
              <w:t>9</w:t>
            </w:r>
          </w:p>
        </w:tc>
        <w:tc>
          <w:tcPr>
            <w:tcW w:w="6667" w:type="dxa"/>
          </w:tcPr>
          <w:p w14:paraId="70EB7091" w14:textId="1246E3B1" w:rsidR="00376FCD"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376FCD" w:rsidRPr="006579B1">
              <w:rPr>
                <w:rFonts w:cs="Arial"/>
                <w:b w:val="0"/>
                <w:sz w:val="22"/>
                <w:szCs w:val="22"/>
              </w:rPr>
              <w:t>Supplier and Sub-contractor FTE used in the delivery of the Agreement, per the Supplier’s declared staffing levels in its BAFO</w:t>
            </w:r>
          </w:p>
        </w:tc>
      </w:tr>
      <w:tr w:rsidR="00376FCD" w:rsidRPr="00380877" w14:paraId="4C4B0A56" w14:textId="77777777" w:rsidTr="00812C81">
        <w:trPr>
          <w:trHeight w:val="559"/>
        </w:trPr>
        <w:tc>
          <w:tcPr>
            <w:tcW w:w="2121" w:type="dxa"/>
          </w:tcPr>
          <w:p w14:paraId="2788DBC8" w14:textId="127EB7F2"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10</w:t>
            </w:r>
          </w:p>
        </w:tc>
        <w:tc>
          <w:tcPr>
            <w:tcW w:w="6667" w:type="dxa"/>
          </w:tcPr>
          <w:p w14:paraId="4864562E" w14:textId="58CEC091" w:rsidR="00376FCD"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376FCD" w:rsidRPr="006579B1">
              <w:rPr>
                <w:rFonts w:cs="Arial"/>
                <w:b w:val="0"/>
                <w:sz w:val="22"/>
                <w:szCs w:val="22"/>
              </w:rPr>
              <w:t>Supplier and Sub-contractor FTE used in the delivery of the Agreement, per the Supplier’s declared staffing levels in its BAFO</w:t>
            </w:r>
          </w:p>
        </w:tc>
      </w:tr>
      <w:tr w:rsidR="00376FCD" w:rsidRPr="00380877" w14:paraId="0C02F7BE" w14:textId="77777777" w:rsidTr="00812C81">
        <w:trPr>
          <w:trHeight w:val="559"/>
        </w:trPr>
        <w:tc>
          <w:tcPr>
            <w:tcW w:w="2121" w:type="dxa"/>
          </w:tcPr>
          <w:p w14:paraId="75D86718" w14:textId="0CA2E497"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11</w:t>
            </w:r>
          </w:p>
        </w:tc>
        <w:tc>
          <w:tcPr>
            <w:tcW w:w="6667" w:type="dxa"/>
          </w:tcPr>
          <w:p w14:paraId="09F80C77" w14:textId="360525E7" w:rsidR="00376FCD"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376FCD" w:rsidRPr="006579B1">
              <w:rPr>
                <w:rFonts w:cs="Arial"/>
                <w:b w:val="0"/>
                <w:sz w:val="22"/>
                <w:szCs w:val="22"/>
              </w:rPr>
              <w:t>Supplier and Sub-contractor FTE used in the delivery of the Agreement, per the Supplier’s declared staffing levels in its BAFO</w:t>
            </w:r>
          </w:p>
        </w:tc>
      </w:tr>
      <w:tr w:rsidR="00376FCD" w:rsidRPr="00380877" w14:paraId="7F651B2A" w14:textId="77777777" w:rsidTr="00812C81">
        <w:trPr>
          <w:trHeight w:val="559"/>
        </w:trPr>
        <w:tc>
          <w:tcPr>
            <w:tcW w:w="2121" w:type="dxa"/>
          </w:tcPr>
          <w:p w14:paraId="4181F2E9" w14:textId="68FF7DF6"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12</w:t>
            </w:r>
          </w:p>
        </w:tc>
        <w:tc>
          <w:tcPr>
            <w:tcW w:w="6667" w:type="dxa"/>
          </w:tcPr>
          <w:p w14:paraId="3150AF62" w14:textId="57A3F533" w:rsidR="00376FCD" w:rsidRPr="006579B1" w:rsidRDefault="009573B5" w:rsidP="00376FCD">
            <w:pPr>
              <w:pStyle w:val="SchdLevel1Heading"/>
              <w:keepNext w:val="0"/>
              <w:widowControl w:val="0"/>
              <w:numPr>
                <w:ilvl w:val="0"/>
                <w:numId w:val="0"/>
              </w:numPr>
              <w:spacing w:after="220" w:line="240" w:lineRule="auto"/>
              <w:jc w:val="left"/>
              <w:rPr>
                <w:rFonts w:cs="Arial"/>
                <w:b w:val="0"/>
                <w:sz w:val="22"/>
                <w:szCs w:val="22"/>
              </w:rPr>
            </w:pPr>
            <w:r w:rsidRPr="009573B5">
              <w:rPr>
                <w:rFonts w:cs="Arial"/>
                <w:b w:val="0"/>
                <w:sz w:val="22"/>
                <w:szCs w:val="22"/>
                <w:highlight w:val="yellow"/>
              </w:rPr>
              <w:t>[REDACTED]</w:t>
            </w:r>
            <w:r>
              <w:rPr>
                <w:rFonts w:cs="Arial"/>
                <w:sz w:val="22"/>
                <w:szCs w:val="22"/>
              </w:rPr>
              <w:t xml:space="preserve"> </w:t>
            </w:r>
            <w:r w:rsidR="00376FCD" w:rsidRPr="006579B1">
              <w:rPr>
                <w:rFonts w:cs="Arial"/>
                <w:b w:val="0"/>
                <w:sz w:val="22"/>
                <w:szCs w:val="22"/>
              </w:rPr>
              <w:t>Supplier and Sub-contractor FTE used in the delivery of the Agreement, per the Supplier’s declared staffing levels in its BAFO</w:t>
            </w:r>
          </w:p>
        </w:tc>
      </w:tr>
    </w:tbl>
    <w:p w14:paraId="7B35B192" w14:textId="77777777" w:rsidR="00A726D6" w:rsidRDefault="00A726D6" w:rsidP="004013AE">
      <w:pPr>
        <w:pStyle w:val="SchdLevel2"/>
        <w:widowControl w:val="0"/>
        <w:numPr>
          <w:ilvl w:val="0"/>
          <w:numId w:val="0"/>
        </w:numPr>
        <w:spacing w:after="220" w:line="240" w:lineRule="auto"/>
        <w:jc w:val="left"/>
        <w:rPr>
          <w:rFonts w:cs="Arial"/>
          <w:sz w:val="22"/>
          <w:szCs w:val="22"/>
        </w:rPr>
        <w:sectPr w:rsidR="00A726D6" w:rsidSect="000D64E3">
          <w:headerReference w:type="even" r:id="rId20"/>
          <w:headerReference w:type="default" r:id="rId21"/>
          <w:headerReference w:type="first" r:id="rId22"/>
          <w:endnotePr>
            <w:numFmt w:val="decimal"/>
          </w:endnotePr>
          <w:pgSz w:w="11909" w:h="16834" w:code="9"/>
          <w:pgMar w:top="1134" w:right="1134" w:bottom="1134" w:left="1134" w:header="454" w:footer="454" w:gutter="0"/>
          <w:pgNumType w:start="1"/>
          <w:cols w:space="720"/>
          <w:noEndnote/>
          <w:titlePg/>
          <w:docGrid w:linePitch="299"/>
        </w:sectPr>
      </w:pP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lastRenderedPageBreak/>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3"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4"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1" w:name="_Toc324838587"/>
      <w:bookmarkStart w:id="22" w:name="_Toc342310990"/>
      <w:r w:rsidRPr="001343F8">
        <w:rPr>
          <w:rFonts w:ascii="Arial" w:hAnsi="Arial" w:cs="Arial"/>
        </w:rPr>
        <w:t xml:space="preserve">The Supplier shall comply to the extent within its control with UK Government’s Open Standards Principles as documented at </w:t>
      </w:r>
      <w:hyperlink r:id="rId25"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6"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lastRenderedPageBreak/>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3" w:name="_Toc340747033"/>
      <w:bookmarkStart w:id="24" w:name="_Toc340747129"/>
      <w:bookmarkStart w:id="25" w:name="_Toc342310997"/>
      <w:bookmarkStart w:id="26" w:name="_Toc310512494"/>
      <w:bookmarkStart w:id="27" w:name="_Toc310512561"/>
      <w:bookmarkStart w:id="28" w:name="_Toc310512627"/>
      <w:bookmarkStart w:id="29" w:name="_Toc310512707"/>
      <w:bookmarkStart w:id="30" w:name="_Toc310512850"/>
      <w:bookmarkStart w:id="31" w:name="_Toc310512930"/>
      <w:bookmarkStart w:id="32" w:name="_Toc310513077"/>
      <w:bookmarkStart w:id="33" w:name="_Toc310513157"/>
      <w:bookmarkStart w:id="34" w:name="_Toc310513326"/>
      <w:bookmarkStart w:id="35" w:name="_Toc310513403"/>
      <w:bookmarkStart w:id="36" w:name="_Toc310512495"/>
      <w:bookmarkStart w:id="37" w:name="_Toc310512562"/>
      <w:bookmarkStart w:id="38" w:name="_Toc310512628"/>
      <w:bookmarkStart w:id="39" w:name="_Toc310512708"/>
      <w:bookmarkStart w:id="40" w:name="_Toc310512851"/>
      <w:bookmarkStart w:id="41" w:name="_Toc310512931"/>
      <w:bookmarkStart w:id="42" w:name="_Toc310513078"/>
      <w:bookmarkStart w:id="43" w:name="_Toc310513158"/>
      <w:bookmarkStart w:id="44" w:name="_Toc310513327"/>
      <w:bookmarkStart w:id="45" w:name="_Toc310513404"/>
      <w:bookmarkStart w:id="46" w:name="_Toc310512497"/>
      <w:bookmarkStart w:id="47" w:name="_Toc310512564"/>
      <w:bookmarkStart w:id="48" w:name="_Toc310512630"/>
      <w:bookmarkStart w:id="49" w:name="_Toc310512710"/>
      <w:bookmarkStart w:id="50" w:name="_Toc310512853"/>
      <w:bookmarkStart w:id="51" w:name="_Toc310512933"/>
      <w:bookmarkStart w:id="52" w:name="_Toc310513080"/>
      <w:bookmarkStart w:id="53" w:name="_Toc310513160"/>
      <w:bookmarkStart w:id="54" w:name="_Toc310513329"/>
      <w:bookmarkStart w:id="55" w:name="_Toc310513406"/>
      <w:bookmarkStart w:id="56" w:name="_Toc310512498"/>
      <w:bookmarkStart w:id="57" w:name="_Toc310512565"/>
      <w:bookmarkStart w:id="58" w:name="_Toc310512631"/>
      <w:bookmarkStart w:id="59" w:name="_Toc310512711"/>
      <w:bookmarkStart w:id="60" w:name="_Toc310512854"/>
      <w:bookmarkStart w:id="61" w:name="_Toc310512934"/>
      <w:bookmarkStart w:id="62" w:name="_Toc310513081"/>
      <w:bookmarkStart w:id="63" w:name="_Toc310513161"/>
      <w:bookmarkStart w:id="64" w:name="_Toc310513330"/>
      <w:bookmarkStart w:id="65" w:name="_Toc310513407"/>
      <w:bookmarkStart w:id="66" w:name="_Toc310512499"/>
      <w:bookmarkStart w:id="67" w:name="_Toc310512566"/>
      <w:bookmarkStart w:id="68" w:name="_Toc310512632"/>
      <w:bookmarkStart w:id="69" w:name="_Toc310512712"/>
      <w:bookmarkStart w:id="70" w:name="_Toc310512855"/>
      <w:bookmarkStart w:id="71" w:name="_Toc310512935"/>
      <w:bookmarkStart w:id="72" w:name="_Toc310513082"/>
      <w:bookmarkStart w:id="73" w:name="_Toc310513162"/>
      <w:bookmarkStart w:id="74" w:name="_Toc310513331"/>
      <w:bookmarkStart w:id="75" w:name="_Toc310513408"/>
      <w:bookmarkStart w:id="76" w:name="_Toc310510785"/>
      <w:bookmarkStart w:id="77" w:name="_Toc310512464"/>
      <w:bookmarkStart w:id="78" w:name="_Toc310512531"/>
      <w:bookmarkStart w:id="79" w:name="_Toc310512597"/>
      <w:bookmarkStart w:id="80" w:name="_Toc310512677"/>
      <w:bookmarkStart w:id="81" w:name="_Toc310512820"/>
      <w:bookmarkStart w:id="82" w:name="_Toc310512900"/>
      <w:bookmarkStart w:id="83" w:name="_Toc310513047"/>
      <w:bookmarkStart w:id="84" w:name="_Toc310513127"/>
      <w:bookmarkStart w:id="85" w:name="_Toc310513296"/>
      <w:bookmarkStart w:id="86" w:name="_Toc310513373"/>
      <w:bookmarkStart w:id="87" w:name="_Toc310512465"/>
      <w:bookmarkStart w:id="88" w:name="_Toc310512532"/>
      <w:bookmarkStart w:id="89" w:name="_Toc310512598"/>
      <w:bookmarkStart w:id="90" w:name="_Toc310512678"/>
      <w:bookmarkStart w:id="91" w:name="_Toc310512821"/>
      <w:bookmarkStart w:id="92" w:name="_Toc310512901"/>
      <w:bookmarkStart w:id="93" w:name="_Toc310513048"/>
      <w:bookmarkStart w:id="94" w:name="_Toc310513128"/>
      <w:bookmarkStart w:id="95" w:name="_Toc310513297"/>
      <w:bookmarkStart w:id="96" w:name="_Toc310513374"/>
      <w:bookmarkStart w:id="97" w:name="_Toc310512470"/>
      <w:bookmarkStart w:id="98" w:name="_Toc310512537"/>
      <w:bookmarkStart w:id="99" w:name="_Toc310512603"/>
      <w:bookmarkStart w:id="100" w:name="_Toc310512683"/>
      <w:bookmarkStart w:id="101" w:name="_Toc310512826"/>
      <w:bookmarkStart w:id="102" w:name="_Toc310512906"/>
      <w:bookmarkStart w:id="103" w:name="_Toc310513053"/>
      <w:bookmarkStart w:id="104" w:name="_Toc310513133"/>
      <w:bookmarkStart w:id="105" w:name="_Toc310513302"/>
      <w:bookmarkStart w:id="106" w:name="_Toc310513379"/>
      <w:bookmarkStart w:id="107" w:name="_Toc310512479"/>
      <w:bookmarkStart w:id="108" w:name="_Toc310512546"/>
      <w:bookmarkStart w:id="109" w:name="_Toc310512612"/>
      <w:bookmarkStart w:id="110" w:name="_Toc310512692"/>
      <w:bookmarkStart w:id="111" w:name="_Toc310512835"/>
      <w:bookmarkStart w:id="112" w:name="_Toc310512915"/>
      <w:bookmarkStart w:id="113" w:name="_Toc310513062"/>
      <w:bookmarkStart w:id="114" w:name="_Toc310513142"/>
      <w:bookmarkStart w:id="115" w:name="_Toc310513311"/>
      <w:bookmarkStart w:id="116" w:name="_Toc310513388"/>
      <w:bookmarkStart w:id="117" w:name="_Toc310512480"/>
      <w:bookmarkStart w:id="118" w:name="_Toc310512547"/>
      <w:bookmarkStart w:id="119" w:name="_Toc310512613"/>
      <w:bookmarkStart w:id="120" w:name="_Toc310512693"/>
      <w:bookmarkStart w:id="121" w:name="_Toc310512836"/>
      <w:bookmarkStart w:id="122" w:name="_Toc310512916"/>
      <w:bookmarkStart w:id="123" w:name="_Toc310513063"/>
      <w:bookmarkStart w:id="124" w:name="_Toc310513143"/>
      <w:bookmarkStart w:id="125" w:name="_Toc310513312"/>
      <w:bookmarkStart w:id="126" w:name="_Toc310513389"/>
      <w:bookmarkStart w:id="127" w:name="_Toc310512482"/>
      <w:bookmarkStart w:id="128" w:name="_Toc310512549"/>
      <w:bookmarkStart w:id="129" w:name="_Toc310512615"/>
      <w:bookmarkStart w:id="130" w:name="_Toc310512695"/>
      <w:bookmarkStart w:id="131" w:name="_Toc310512838"/>
      <w:bookmarkStart w:id="132" w:name="_Toc310512918"/>
      <w:bookmarkStart w:id="133" w:name="_Toc310513065"/>
      <w:bookmarkStart w:id="134" w:name="_Toc310513145"/>
      <w:bookmarkStart w:id="135" w:name="_Toc310513314"/>
      <w:bookmarkStart w:id="136" w:name="_Toc310513391"/>
      <w:bookmarkStart w:id="137" w:name="_Toc310512483"/>
      <w:bookmarkStart w:id="138" w:name="_Toc310512550"/>
      <w:bookmarkStart w:id="139" w:name="_Toc310512616"/>
      <w:bookmarkStart w:id="140" w:name="_Toc310512696"/>
      <w:bookmarkStart w:id="141" w:name="_Toc310512839"/>
      <w:bookmarkStart w:id="142" w:name="_Toc310512919"/>
      <w:bookmarkStart w:id="143" w:name="_Toc310513066"/>
      <w:bookmarkStart w:id="144" w:name="_Toc310513146"/>
      <w:bookmarkStart w:id="145" w:name="_Toc310513315"/>
      <w:bookmarkStart w:id="146" w:name="_Toc310513392"/>
      <w:bookmarkStart w:id="147" w:name="_Toc310512484"/>
      <w:bookmarkStart w:id="148" w:name="_Toc310512551"/>
      <w:bookmarkStart w:id="149" w:name="_Toc310512617"/>
      <w:bookmarkStart w:id="150" w:name="_Toc310512697"/>
      <w:bookmarkStart w:id="151" w:name="_Toc310512840"/>
      <w:bookmarkStart w:id="152" w:name="_Toc310512920"/>
      <w:bookmarkStart w:id="153" w:name="_Toc310513067"/>
      <w:bookmarkStart w:id="154" w:name="_Toc310513147"/>
      <w:bookmarkStart w:id="155" w:name="_Toc310513316"/>
      <w:bookmarkStart w:id="156" w:name="_Toc310513393"/>
      <w:bookmarkStart w:id="157" w:name="_Toc310512485"/>
      <w:bookmarkStart w:id="158" w:name="_Toc310512552"/>
      <w:bookmarkStart w:id="159" w:name="_Toc310512618"/>
      <w:bookmarkStart w:id="160" w:name="_Toc310512698"/>
      <w:bookmarkStart w:id="161" w:name="_Toc310512841"/>
      <w:bookmarkStart w:id="162" w:name="_Toc310512921"/>
      <w:bookmarkStart w:id="163" w:name="_Toc310513068"/>
      <w:bookmarkStart w:id="164" w:name="_Toc310513148"/>
      <w:bookmarkStart w:id="165" w:name="_Toc310513317"/>
      <w:bookmarkStart w:id="166" w:name="_Toc310513394"/>
      <w:bookmarkStart w:id="167" w:name="_Toc310512488"/>
      <w:bookmarkStart w:id="168" w:name="_Toc310512555"/>
      <w:bookmarkStart w:id="169" w:name="_Toc310512621"/>
      <w:bookmarkStart w:id="170" w:name="_Toc310512701"/>
      <w:bookmarkStart w:id="171" w:name="_Toc310512844"/>
      <w:bookmarkStart w:id="172" w:name="_Toc310512924"/>
      <w:bookmarkStart w:id="173" w:name="_Toc310513071"/>
      <w:bookmarkStart w:id="174" w:name="_Toc310513151"/>
      <w:bookmarkStart w:id="175" w:name="_Toc310513320"/>
      <w:bookmarkStart w:id="176" w:name="_Toc310513397"/>
      <w:bookmarkStart w:id="177" w:name="_Toc310512489"/>
      <w:bookmarkStart w:id="178" w:name="_Toc310512556"/>
      <w:bookmarkStart w:id="179" w:name="_Toc310512622"/>
      <w:bookmarkStart w:id="180" w:name="_Toc310512702"/>
      <w:bookmarkStart w:id="181" w:name="_Toc310512845"/>
      <w:bookmarkStart w:id="182" w:name="_Toc310512925"/>
      <w:bookmarkStart w:id="183" w:name="_Toc310513072"/>
      <w:bookmarkStart w:id="184" w:name="_Toc310513152"/>
      <w:bookmarkStart w:id="185" w:name="_Toc310513321"/>
      <w:bookmarkStart w:id="186" w:name="_Toc310513398"/>
      <w:bookmarkStart w:id="187" w:name="_Toc310512490"/>
      <w:bookmarkStart w:id="188" w:name="_Toc310512557"/>
      <w:bookmarkStart w:id="189" w:name="_Toc310512623"/>
      <w:bookmarkStart w:id="190" w:name="_Toc310512703"/>
      <w:bookmarkStart w:id="191" w:name="_Toc310512846"/>
      <w:bookmarkStart w:id="192" w:name="_Toc310512926"/>
      <w:bookmarkStart w:id="193" w:name="_Toc310513073"/>
      <w:bookmarkStart w:id="194" w:name="_Toc310513153"/>
      <w:bookmarkStart w:id="195" w:name="_Toc310513322"/>
      <w:bookmarkStart w:id="196" w:name="_Toc310513399"/>
      <w:bookmarkStart w:id="197" w:name="_Toc310512491"/>
      <w:bookmarkStart w:id="198" w:name="_Toc310512558"/>
      <w:bookmarkStart w:id="199" w:name="_Toc310512624"/>
      <w:bookmarkStart w:id="200" w:name="_Toc310512704"/>
      <w:bookmarkStart w:id="201" w:name="_Toc310512847"/>
      <w:bookmarkStart w:id="202" w:name="_Toc310512927"/>
      <w:bookmarkStart w:id="203" w:name="_Toc310513074"/>
      <w:bookmarkStart w:id="204" w:name="_Toc310513154"/>
      <w:bookmarkStart w:id="205" w:name="_Toc310513323"/>
      <w:bookmarkStart w:id="206" w:name="_Toc310513400"/>
      <w:bookmarkStart w:id="207" w:name="_Toc310512492"/>
      <w:bookmarkStart w:id="208" w:name="_Toc310512559"/>
      <w:bookmarkStart w:id="209" w:name="_Toc310512625"/>
      <w:bookmarkStart w:id="210" w:name="_Toc310512705"/>
      <w:bookmarkStart w:id="211" w:name="_Toc310512848"/>
      <w:bookmarkStart w:id="212" w:name="_Toc310512928"/>
      <w:bookmarkStart w:id="213" w:name="_Toc310513075"/>
      <w:bookmarkStart w:id="214" w:name="_Toc310513155"/>
      <w:bookmarkStart w:id="215" w:name="_Toc310513324"/>
      <w:bookmarkStart w:id="216" w:name="_Toc310513401"/>
      <w:bookmarkStart w:id="217" w:name="_Toc310512501"/>
      <w:bookmarkStart w:id="218" w:name="_Toc310512568"/>
      <w:bookmarkStart w:id="219" w:name="_Toc310512634"/>
      <w:bookmarkStart w:id="220" w:name="_Toc310512714"/>
      <w:bookmarkStart w:id="221" w:name="_Toc310512857"/>
      <w:bookmarkStart w:id="222" w:name="_Toc310512937"/>
      <w:bookmarkStart w:id="223" w:name="_Toc310513084"/>
      <w:bookmarkStart w:id="224" w:name="_Toc310513164"/>
      <w:bookmarkStart w:id="225" w:name="_Toc310513333"/>
      <w:bookmarkStart w:id="226" w:name="_Toc310513410"/>
      <w:bookmarkStart w:id="227" w:name="_Toc310513334"/>
      <w:bookmarkStart w:id="228" w:name="_Toc310513411"/>
      <w:bookmarkStart w:id="229" w:name="_Toc310512508"/>
      <w:bookmarkStart w:id="230" w:name="_Toc310512575"/>
      <w:bookmarkStart w:id="231" w:name="_Toc310512641"/>
      <w:bookmarkStart w:id="232" w:name="_Toc310512721"/>
      <w:bookmarkStart w:id="233" w:name="_Toc310512864"/>
      <w:bookmarkStart w:id="234" w:name="_Toc310512944"/>
      <w:bookmarkStart w:id="235" w:name="_Toc310513091"/>
      <w:bookmarkStart w:id="236" w:name="_Toc310513171"/>
      <w:bookmarkStart w:id="237" w:name="_Toc310513337"/>
      <w:bookmarkStart w:id="238" w:name="_Toc310513414"/>
      <w:bookmarkStart w:id="239" w:name="_Toc310512510"/>
      <w:bookmarkStart w:id="240" w:name="_Toc310512577"/>
      <w:bookmarkStart w:id="241" w:name="_Toc310512643"/>
      <w:bookmarkStart w:id="242" w:name="_Toc310512723"/>
      <w:bookmarkStart w:id="243" w:name="_Toc310512866"/>
      <w:bookmarkStart w:id="244" w:name="_Toc310512946"/>
      <w:bookmarkStart w:id="245" w:name="_Toc310513093"/>
      <w:bookmarkStart w:id="246" w:name="_Toc310513173"/>
      <w:bookmarkStart w:id="247" w:name="_Toc310513339"/>
      <w:bookmarkStart w:id="248" w:name="_Toc310513416"/>
      <w:bookmarkStart w:id="249" w:name="_Toc324838598"/>
      <w:bookmarkStart w:id="250" w:name="_Toc34231100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9"/>
      <w:bookmarkEnd w:id="250"/>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1"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2" w:name="_Toc310512512"/>
      <w:bookmarkStart w:id="253" w:name="_Toc310512579"/>
      <w:bookmarkStart w:id="254" w:name="_Toc310512645"/>
      <w:bookmarkStart w:id="255" w:name="_Toc310512725"/>
      <w:bookmarkStart w:id="256" w:name="_Toc310512868"/>
      <w:bookmarkStart w:id="257" w:name="_Toc310512948"/>
      <w:bookmarkStart w:id="258" w:name="_Toc310513095"/>
      <w:bookmarkStart w:id="259" w:name="_Toc310513175"/>
      <w:bookmarkStart w:id="260" w:name="_Toc310513341"/>
      <w:bookmarkStart w:id="261" w:name="_Toc310513418"/>
      <w:bookmarkStart w:id="262" w:name="_Toc310512581"/>
      <w:bookmarkStart w:id="263" w:name="_Toc310512647"/>
      <w:bookmarkStart w:id="264" w:name="_Toc310512727"/>
      <w:bookmarkStart w:id="265" w:name="_Toc310512870"/>
      <w:bookmarkStart w:id="266" w:name="_Toc310512950"/>
      <w:bookmarkStart w:id="267" w:name="_Toc310513097"/>
      <w:bookmarkStart w:id="268" w:name="_Toc310513177"/>
      <w:bookmarkStart w:id="269" w:name="_Toc310513343"/>
      <w:bookmarkStart w:id="270" w:name="_Toc310513420"/>
      <w:bookmarkStart w:id="271" w:name="_Toc310509490"/>
      <w:bookmarkStart w:id="272" w:name="_Toc310509643"/>
      <w:bookmarkStart w:id="273" w:name="_Toc310510086"/>
      <w:bookmarkStart w:id="274" w:name="_Toc310510534"/>
      <w:bookmarkStart w:id="275" w:name="_Toc310510660"/>
      <w:bookmarkStart w:id="276" w:name="_Toc310510687"/>
      <w:bookmarkStart w:id="277" w:name="_Toc310510713"/>
      <w:bookmarkStart w:id="278" w:name="_Toc310510800"/>
      <w:bookmarkStart w:id="279" w:name="_Toc310512517"/>
      <w:bookmarkStart w:id="280" w:name="_Toc310512584"/>
      <w:bookmarkStart w:id="281" w:name="_Toc310512650"/>
      <w:bookmarkStart w:id="282" w:name="_Toc310512730"/>
      <w:bookmarkStart w:id="283" w:name="_Toc310512873"/>
      <w:bookmarkStart w:id="284" w:name="_Toc310512953"/>
      <w:bookmarkStart w:id="285" w:name="_Toc310513100"/>
      <w:bookmarkStart w:id="286" w:name="_Toc310513180"/>
      <w:bookmarkStart w:id="287" w:name="_Toc310513346"/>
      <w:bookmarkStart w:id="288" w:name="_Toc310513423"/>
      <w:bookmarkStart w:id="289" w:name="_Toc310509491"/>
      <w:bookmarkStart w:id="290" w:name="_Toc310509644"/>
      <w:bookmarkStart w:id="291" w:name="_Toc310510087"/>
      <w:bookmarkStart w:id="292" w:name="_Toc310510535"/>
      <w:bookmarkStart w:id="293" w:name="_Toc310510661"/>
      <w:bookmarkStart w:id="294" w:name="_Toc310510688"/>
      <w:bookmarkStart w:id="295" w:name="_Toc310510714"/>
      <w:bookmarkStart w:id="296" w:name="_Toc310510801"/>
      <w:bookmarkStart w:id="297" w:name="_Toc310512518"/>
      <w:bookmarkStart w:id="298" w:name="_Toc310512585"/>
      <w:bookmarkStart w:id="299" w:name="_Toc310512651"/>
      <w:bookmarkStart w:id="300" w:name="_Toc310512731"/>
      <w:bookmarkStart w:id="301" w:name="_Toc310512874"/>
      <w:bookmarkStart w:id="302" w:name="_Toc310512954"/>
      <w:bookmarkStart w:id="303" w:name="_Toc310513101"/>
      <w:bookmarkStart w:id="304" w:name="_Toc310513181"/>
      <w:bookmarkStart w:id="305" w:name="_Toc310513347"/>
      <w:bookmarkStart w:id="306" w:name="_Toc310513424"/>
      <w:bookmarkStart w:id="307" w:name="_Toc310509492"/>
      <w:bookmarkStart w:id="308" w:name="_Toc310509645"/>
      <w:bookmarkStart w:id="309" w:name="_Toc310510088"/>
      <w:bookmarkStart w:id="310" w:name="_Toc310510536"/>
      <w:bookmarkStart w:id="311" w:name="_Toc310510662"/>
      <w:bookmarkStart w:id="312" w:name="_Toc310510689"/>
      <w:bookmarkStart w:id="313" w:name="_Toc310510715"/>
      <w:bookmarkStart w:id="314" w:name="_Toc310510802"/>
      <w:bookmarkStart w:id="315" w:name="_Toc310512519"/>
      <w:bookmarkStart w:id="316" w:name="_Toc310512586"/>
      <w:bookmarkStart w:id="317" w:name="_Toc310512652"/>
      <w:bookmarkStart w:id="318" w:name="_Toc310512732"/>
      <w:bookmarkStart w:id="319" w:name="_Toc310512875"/>
      <w:bookmarkStart w:id="320" w:name="_Toc310512955"/>
      <w:bookmarkStart w:id="321" w:name="_Toc310513102"/>
      <w:bookmarkStart w:id="322" w:name="_Toc310513182"/>
      <w:bookmarkStart w:id="323" w:name="_Toc310513348"/>
      <w:bookmarkStart w:id="324" w:name="_Toc310513425"/>
      <w:bookmarkStart w:id="325" w:name="_Toc340747141"/>
      <w:bookmarkStart w:id="326" w:name="_Toc342311009"/>
      <w:bookmarkStart w:id="327" w:name="_Toc324838600"/>
      <w:bookmarkStart w:id="328" w:name="_Toc34231101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relevant obligations under the Waste Electrical and </w:t>
      </w:r>
      <w:r w:rsidRPr="001343F8">
        <w:rPr>
          <w:rFonts w:ascii="Arial" w:hAnsi="Arial" w:cs="Arial"/>
        </w:rPr>
        <w:lastRenderedPageBreak/>
        <w:t>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7"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7"/>
    <w:bookmarkEnd w:id="328"/>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8"/>
          <w:headerReference w:type="first" r:id="rId29"/>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9" w:name="_Toc35260439"/>
      <w:bookmarkStart w:id="330" w:name="_Toc35260853"/>
      <w:r w:rsidRPr="0069064E">
        <w:rPr>
          <w:rFonts w:ascii="Arial" w:hAnsi="Arial" w:cs="Arial"/>
          <w:bCs/>
          <w:color w:val="365F91"/>
          <w:sz w:val="32"/>
        </w:rPr>
        <w:t>General</w:t>
      </w:r>
      <w:bookmarkEnd w:id="329"/>
      <w:bookmarkEnd w:id="330"/>
    </w:p>
    <w:p w14:paraId="536EDBE7" w14:textId="2F093F00" w:rsidR="00E5103D" w:rsidRPr="00E5103D" w:rsidRDefault="00E5103D" w:rsidP="00A53784">
      <w:pPr>
        <w:widowControl w:val="0"/>
        <w:spacing w:before="240"/>
        <w:ind w:left="0"/>
        <w:jc w:val="left"/>
        <w:outlineLvl w:val="0"/>
        <w:rPr>
          <w:rFonts w:ascii="Arial" w:hAnsi="Arial" w:cs="Arial"/>
        </w:rPr>
      </w:pPr>
      <w:bookmarkStart w:id="331" w:name="_Toc35260440"/>
      <w:bookmarkStart w:id="332"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1"/>
      <w:bookmarkEnd w:id="332"/>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3" w:name="_Toc35260441"/>
      <w:bookmarkStart w:id="334"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3"/>
      <w:bookmarkEnd w:id="334"/>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5"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5"/>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lastRenderedPageBreak/>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lastRenderedPageBreak/>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E5103D">
        <w:trPr>
          <w:trHeight w:val="2552"/>
        </w:trPr>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xml:space="preserve">”) or the relevant successor or replacement information security </w:t>
            </w:r>
            <w:r w:rsidRPr="00E5103D">
              <w:rPr>
                <w:rFonts w:ascii="Arial" w:eastAsia="Arial" w:hAnsi="Arial" w:cs="Arial"/>
                <w:lang w:eastAsia="en-GB"/>
              </w:rPr>
              <w:lastRenderedPageBreak/>
              <w:t>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lastRenderedPageBreak/>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xml:space="preserve">.  The ISO Certificate shall be provided by the Supplier to the </w:t>
      </w:r>
      <w:r w:rsidRPr="00E5103D">
        <w:rPr>
          <w:rFonts w:ascii="Arial" w:hAnsi="Arial" w:cs="Arial"/>
        </w:rPr>
        <w:lastRenderedPageBreak/>
        <w:t>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xml:space="preserve">.  The Cyber Essentials Plus </w:t>
      </w:r>
      <w:r w:rsidRPr="00E5103D">
        <w:rPr>
          <w:rFonts w:ascii="Arial" w:hAnsi="Arial" w:cs="Arial"/>
        </w:rPr>
        <w:lastRenderedPageBreak/>
        <w:t>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lastRenderedPageBreak/>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lastRenderedPageBreak/>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w:t>
      </w:r>
      <w:r w:rsidRPr="00E5103D">
        <w:rPr>
          <w:rFonts w:ascii="Arial" w:hAnsi="Arial" w:cs="Arial"/>
        </w:rPr>
        <w:lastRenderedPageBreak/>
        <w:t xml:space="preserve">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lastRenderedPageBreak/>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670B25" w:rsidP="00A53784">
      <w:pPr>
        <w:widowControl w:val="0"/>
        <w:spacing w:before="240"/>
        <w:ind w:left="0"/>
        <w:jc w:val="left"/>
        <w:rPr>
          <w:rFonts w:ascii="Arial" w:eastAsia="Calibri" w:hAnsi="Arial" w:cs="Arial"/>
          <w:lang w:eastAsia="en-GB"/>
        </w:rPr>
      </w:pPr>
      <w:hyperlink r:id="rId30"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1"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2"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lastRenderedPageBreak/>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670B25" w:rsidP="00A53784">
      <w:pPr>
        <w:widowControl w:val="0"/>
        <w:spacing w:before="120" w:after="120"/>
        <w:ind w:left="0"/>
        <w:jc w:val="left"/>
        <w:rPr>
          <w:rFonts w:ascii="Arial" w:hAnsi="Arial" w:cs="Arial"/>
        </w:rPr>
      </w:pPr>
      <w:hyperlink r:id="rId33"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4"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6"/>
          <w:headerReference w:type="default" r:id="rId37"/>
          <w:footerReference w:type="even" r:id="rId38"/>
          <w:headerReference w:type="first" r:id="rId39"/>
          <w:footerReference w:type="first" r:id="rId40"/>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7708E8">
      <w:pPr>
        <w:suppressAutoHyphens/>
        <w:spacing w:after="0"/>
        <w:ind w:left="0"/>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215539">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215539">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215539">
        <w:trPr>
          <w:trHeight w:val="145"/>
        </w:trPr>
        <w:tc>
          <w:tcPr>
            <w:tcW w:w="2885" w:type="dxa"/>
            <w:gridSpan w:val="2"/>
          </w:tcPr>
          <w:p w14:paraId="67C40B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215539">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0B04B24" w14:textId="77777777" w:rsidTr="00215539">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03B42F96" w14:textId="77777777" w:rsidTr="00215539">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215539">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4BE63DE" w14:textId="77777777" w:rsidTr="00215539">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215539">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2AB3DAFD" w14:textId="77777777" w:rsidTr="00215539">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215539">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215539">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7708E8">
            <w:pPr>
              <w:keepNext/>
              <w:adjustRightInd w:val="0"/>
              <w:spacing w:after="0"/>
              <w:ind w:left="720"/>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7708E8">
            <w:pPr>
              <w:keepNext/>
              <w:adjustRightInd w:val="0"/>
              <w:spacing w:after="0"/>
              <w:ind w:left="720"/>
              <w:rPr>
                <w:rFonts w:ascii="Courier New" w:eastAsia="Arial" w:hAnsi="Courier New" w:cs="Arial"/>
                <w:sz w:val="20"/>
                <w:szCs w:val="24"/>
                <w:lang w:val="en-US" w:eastAsia="en-GB"/>
              </w:rPr>
            </w:pPr>
          </w:p>
          <w:p w14:paraId="4E47029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215539">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215539">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92FE7E5"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26D43870"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144CD6AD" w14:textId="77777777" w:rsidTr="00215539">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4893DB00" w14:textId="77777777" w:rsidTr="00215539">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the set of policies, processes and systems designed, implemented and maintained </w:t>
            </w:r>
            <w:r w:rsidRPr="007708E8">
              <w:rPr>
                <w:rFonts w:ascii="Arial" w:eastAsia="Arial" w:hAnsi="Arial" w:cs="Arial"/>
                <w:sz w:val="24"/>
                <w:szCs w:val="24"/>
                <w:lang w:eastAsia="en-GB"/>
              </w:rPr>
              <w:lastRenderedPageBreak/>
              <w:t>by the Supplier to manage Information Security Risk as certified by ISO/IEC 27001.</w:t>
            </w:r>
          </w:p>
          <w:p w14:paraId="4121CBCA"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7E173D1B" w14:textId="77777777" w:rsidTr="00215539">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66D2F4AB" w14:textId="77777777" w:rsidTr="00215539">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2D8F30AB" w14:textId="77777777" w:rsidTr="00215539">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8A508B9"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09541A9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7708E8">
            <w:pPr>
              <w:widowControl w:val="0"/>
              <w:adjustRightInd w:val="0"/>
              <w:spacing w:after="0"/>
              <w:ind w:left="0"/>
              <w:rPr>
                <w:rFonts w:ascii="Arial" w:eastAsia="Arial" w:hAnsi="Arial" w:cs="Arial"/>
                <w:sz w:val="24"/>
                <w:szCs w:val="24"/>
                <w:lang w:eastAsia="en-GB"/>
              </w:rPr>
            </w:pPr>
          </w:p>
        </w:tc>
      </w:tr>
      <w:tr w:rsidR="007708E8" w:rsidRPr="007708E8" w14:paraId="492DFD7B" w14:textId="77777777" w:rsidTr="00215539">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02E91FF5" w14:textId="77777777" w:rsidTr="00215539">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79186A9" w14:textId="77777777" w:rsidTr="00215539">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215539">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5C99534" w14:textId="77777777" w:rsidTr="00215539">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5DF0E40C" w14:textId="77777777" w:rsidTr="00215539">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rsidDel="00B3464E" w14:paraId="0D1CD983" w14:textId="77777777" w:rsidTr="00215539">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7708E8">
            <w:pPr>
              <w:keepNext/>
              <w:adjustRightInd w:val="0"/>
              <w:spacing w:after="0"/>
              <w:ind w:left="0"/>
              <w:rPr>
                <w:rFonts w:ascii="Arial" w:eastAsia="Arial" w:hAnsi="Arial" w:cs="Arial"/>
                <w:sz w:val="24"/>
                <w:szCs w:val="24"/>
                <w:lang w:eastAsia="en-GB"/>
              </w:rPr>
            </w:pPr>
          </w:p>
        </w:tc>
      </w:tr>
      <w:tr w:rsidR="007708E8" w:rsidRPr="007708E8" w14:paraId="4434EDFA" w14:textId="77777777" w:rsidTr="00215539">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an ongoing activity to identify any potential vulnerability in any Authority Assets, the </w:t>
            </w:r>
            <w:r w:rsidRPr="007708E8">
              <w:rPr>
                <w:rFonts w:ascii="Arial" w:eastAsia="Arial" w:hAnsi="Arial" w:cs="Arial"/>
                <w:sz w:val="24"/>
                <w:szCs w:val="24"/>
                <w:lang w:eastAsia="en-GB"/>
              </w:rPr>
              <w:lastRenderedPageBreak/>
              <w:t>Authority System (or any part thereof) or the Supplier System (or any part thereof).</w:t>
            </w:r>
          </w:p>
        </w:tc>
      </w:tr>
      <w:tr w:rsidR="007708E8" w:rsidRPr="007708E8" w14:paraId="16C06248" w14:textId="77777777" w:rsidTr="00215539">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7708E8">
      <w:pPr>
        <w:numPr>
          <w:ilvl w:val="1"/>
          <w:numId w:val="92"/>
        </w:numPr>
        <w:suppressAutoHyphens/>
        <w:spacing w:after="0"/>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w:t>
      </w:r>
      <w:r w:rsidRPr="007708E8">
        <w:rPr>
          <w:rFonts w:ascii="Arial" w:eastAsia="Times New Roman" w:hAnsi="Arial" w:cs="Times New Roman"/>
          <w:sz w:val="24"/>
          <w:szCs w:val="20"/>
        </w:rPr>
        <w:lastRenderedPageBreak/>
        <w:t xml:space="preserve">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lastRenderedPageBreak/>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lastRenderedPageBreak/>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670B25" w:rsidP="007708E8">
      <w:pPr>
        <w:ind w:left="0"/>
        <w:rPr>
          <w:rFonts w:ascii="Arial" w:eastAsia="Calibri" w:hAnsi="Arial" w:cs="Arial"/>
          <w:sz w:val="24"/>
          <w:szCs w:val="24"/>
          <w:lang w:eastAsia="en-GB"/>
        </w:rPr>
      </w:pPr>
      <w:hyperlink r:id="rId41"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2"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3"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lastRenderedPageBreak/>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670B25" w:rsidP="007708E8">
      <w:pPr>
        <w:suppressAutoHyphens/>
        <w:spacing w:after="0"/>
        <w:ind w:left="0"/>
        <w:rPr>
          <w:rFonts w:ascii="Arial" w:eastAsia="Times New Roman" w:hAnsi="Arial" w:cs="Times New Roman"/>
          <w:sz w:val="24"/>
          <w:szCs w:val="20"/>
        </w:rPr>
      </w:pPr>
      <w:hyperlink r:id="rId44"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5"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w:t>
      </w:r>
      <w:proofErr w:type="gramStart"/>
      <w:r w:rsidRPr="001343F8">
        <w:rPr>
          <w:rFonts w:ascii="Arial" w:hAnsi="Arial" w:cs="Arial"/>
        </w:rPr>
        <w:t>principals</w:t>
      </w:r>
      <w:proofErr w:type="gramEnd"/>
      <w:r w:rsidRPr="001343F8">
        <w:rPr>
          <w:rFonts w:ascii="Arial" w:hAnsi="Arial" w:cs="Arial"/>
        </w:rPr>
        <w:t xml:space="preserve">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Where the Supplier has failed to purchase any of the Insurances or maintain any of the </w:t>
      </w:r>
      <w:r w:rsidRPr="001343F8">
        <w:rPr>
          <w:rFonts w:ascii="Arial" w:hAnsi="Arial" w:cs="Arial"/>
        </w:rPr>
        <w:lastRenderedPageBreak/>
        <w:t>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lastRenderedPageBreak/>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lastRenderedPageBreak/>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Maximum </w:t>
      </w:r>
      <w:r w:rsidR="00AF1DEC">
        <w:rPr>
          <w:rFonts w:ascii="Arial" w:hAnsi="Arial" w:cs="Arial"/>
          <w:b w:val="0"/>
          <w:color w:val="365F91"/>
          <w:sz w:val="32"/>
        </w:rPr>
        <w:t>d</w:t>
      </w:r>
      <w:r w:rsidR="002E0682" w:rsidRPr="002E0682">
        <w:rPr>
          <w:rFonts w:ascii="Arial" w:hAnsi="Arial" w:cs="Arial"/>
          <w:b w:val="0"/>
          <w:color w:val="365F91"/>
          <w:sz w:val="32"/>
        </w:rPr>
        <w:t xml:space="preserve">eductible </w:t>
      </w:r>
      <w:r w:rsidR="00AF1DEC">
        <w:rPr>
          <w:rFonts w:ascii="Arial" w:hAnsi="Arial" w:cs="Arial"/>
          <w:b w:val="0"/>
          <w:color w:val="365F91"/>
          <w:sz w:val="32"/>
        </w:rPr>
        <w:t>t</w:t>
      </w:r>
      <w:r w:rsidR="002E0682" w:rsidRPr="002E0682">
        <w:rPr>
          <w:rFonts w:ascii="Arial" w:hAnsi="Arial" w:cs="Arial"/>
          <w:b w:val="0"/>
          <w:color w:val="365F91"/>
          <w:sz w:val="32"/>
        </w:rPr>
        <w:t>hreshold</w:t>
      </w:r>
    </w:p>
    <w:p w14:paraId="58F7525F" w14:textId="7C04EE04" w:rsidR="00C41D2E" w:rsidRPr="001343F8" w:rsidRDefault="003B2FB5" w:rsidP="002E0682">
      <w:pPr>
        <w:widowControl w:val="0"/>
        <w:spacing w:before="200" w:after="200"/>
        <w:ind w:left="851"/>
        <w:jc w:val="left"/>
        <w:rPr>
          <w:rFonts w:ascii="Arial" w:hAnsi="Arial" w:cs="Arial"/>
        </w:rPr>
      </w:pPr>
      <w:r w:rsidRPr="001343F8">
        <w:rPr>
          <w:rFonts w:ascii="Arial" w:hAnsi="Arial" w:cs="Arial"/>
        </w:rPr>
        <w:t>Not to exceed</w:t>
      </w:r>
      <w:r w:rsidR="00861003">
        <w:rPr>
          <w:rFonts w:ascii="Arial" w:hAnsi="Arial" w:cs="Arial"/>
        </w:rPr>
        <w:t xml:space="preserve"> the applicable maximum deductible threshold in the insurance policy that Insured has in place as at the </w:t>
      </w:r>
      <w:r w:rsidR="00BC396B">
        <w:rPr>
          <w:rFonts w:ascii="Arial" w:hAnsi="Arial" w:cs="Arial"/>
        </w:rPr>
        <w:t xml:space="preserve">Effective </w:t>
      </w:r>
      <w:r w:rsidR="00861003">
        <w:rPr>
          <w:rFonts w:ascii="Arial" w:hAnsi="Arial" w:cs="Arial"/>
        </w:rPr>
        <w:t xml:space="preserve">Date for </w:t>
      </w:r>
      <w:r w:rsidRPr="001343F8">
        <w:rPr>
          <w:rFonts w:ascii="Arial" w:hAnsi="Arial" w:cs="Arial"/>
        </w:rPr>
        <w:t>each and every third party property damage claim (personal injury claims to be paid in full).</w:t>
      </w: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lastRenderedPageBreak/>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167D841D" w:rsidR="00FE6CE6" w:rsidRPr="008957A0" w:rsidRDefault="00B479AC" w:rsidP="008957A0">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to exceed</w:t>
      </w:r>
      <w:r w:rsidR="00861003">
        <w:rPr>
          <w:rFonts w:cs="Arial"/>
          <w:sz w:val="22"/>
          <w:szCs w:val="22"/>
        </w:rPr>
        <w:t xml:space="preserve"> the applicable maximum deductible threshold in the insurance policy that Insured has in place as at the </w:t>
      </w:r>
      <w:r w:rsidR="00BC396B">
        <w:rPr>
          <w:rFonts w:cs="Arial"/>
          <w:sz w:val="22"/>
          <w:szCs w:val="22"/>
        </w:rPr>
        <w:t xml:space="preserve">Effective </w:t>
      </w:r>
      <w:r w:rsidR="00861003">
        <w:rPr>
          <w:rFonts w:cs="Arial"/>
          <w:sz w:val="22"/>
          <w:szCs w:val="22"/>
        </w:rPr>
        <w:t>Date</w:t>
      </w:r>
      <w:r w:rsidRPr="00DA6B0B">
        <w:rPr>
          <w:rFonts w:cs="Arial"/>
          <w:sz w:val="22"/>
          <w:szCs w:val="22"/>
        </w:rPr>
        <w:t xml:space="preserve"> </w:t>
      </w:r>
      <w:r w:rsidR="008065A4">
        <w:rPr>
          <w:rFonts w:cs="Arial"/>
          <w:sz w:val="22"/>
          <w:szCs w:val="22"/>
        </w:rPr>
        <w:t xml:space="preserve">for each and every third party professional indemnity claim. </w:t>
      </w:r>
    </w:p>
    <w:sectPr w:rsidR="00FE6CE6" w:rsidRPr="008957A0" w:rsidSect="00E13253">
      <w:headerReference w:type="default" r:id="rId47"/>
      <w:headerReference w:type="first" r:id="rId48"/>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B218FB" w:rsidRDefault="00B218FB">
      <w:r>
        <w:separator/>
      </w:r>
    </w:p>
    <w:p w14:paraId="2E721A36" w14:textId="77777777" w:rsidR="00B218FB" w:rsidRDefault="00B218FB"/>
    <w:p w14:paraId="6A644B07" w14:textId="77777777" w:rsidR="00B218FB" w:rsidRDefault="00B218FB"/>
  </w:endnote>
  <w:endnote w:type="continuationSeparator" w:id="0">
    <w:p w14:paraId="0BB42C62" w14:textId="77777777" w:rsidR="00B218FB" w:rsidRDefault="00B218FB">
      <w:r>
        <w:continuationSeparator/>
      </w:r>
    </w:p>
    <w:p w14:paraId="1A1772C9" w14:textId="77777777" w:rsidR="00B218FB" w:rsidRDefault="00B218FB"/>
    <w:p w14:paraId="109B51EE" w14:textId="77777777" w:rsidR="00B218FB" w:rsidRDefault="00B218FB"/>
  </w:endnote>
  <w:endnote w:type="continuationNotice" w:id="1">
    <w:p w14:paraId="4BCC1C51" w14:textId="77777777" w:rsidR="00B218FB" w:rsidRDefault="00B218FB">
      <w:pPr>
        <w:spacing w:after="0"/>
      </w:pPr>
    </w:p>
    <w:p w14:paraId="70673C12" w14:textId="77777777" w:rsidR="00B218FB" w:rsidRDefault="00B218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0000000000000000000"/>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B218FB" w:rsidRDefault="00B218FB" w:rsidP="001A28CE">
    <w:pPr>
      <w:pStyle w:val="Footer"/>
      <w:pBdr>
        <w:bottom w:val="single" w:sz="4" w:space="1" w:color="auto"/>
      </w:pBdr>
      <w:ind w:left="0"/>
      <w:rPr>
        <w:rFonts w:ascii="Arial" w:hAnsi="Arial" w:cs="Arial"/>
        <w:sz w:val="16"/>
      </w:rPr>
    </w:pPr>
  </w:p>
  <w:p w14:paraId="011E0B20" w14:textId="77777777" w:rsidR="00B218FB" w:rsidRDefault="00B218FB"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B218FB" w:rsidRDefault="00B218FB" w:rsidP="001A28CE">
    <w:pPr>
      <w:pStyle w:val="Footer"/>
      <w:pBdr>
        <w:bottom w:val="single" w:sz="4" w:space="1" w:color="auto"/>
      </w:pBdr>
      <w:ind w:left="0"/>
      <w:rPr>
        <w:rFonts w:ascii="Arial" w:hAnsi="Arial" w:cs="Arial"/>
        <w:sz w:val="16"/>
      </w:rPr>
    </w:pPr>
  </w:p>
  <w:p w14:paraId="50279847" w14:textId="77777777" w:rsidR="00B218FB" w:rsidRDefault="00B218FB" w:rsidP="00D304D0">
    <w:pPr>
      <w:pStyle w:val="Footer"/>
      <w:ind w:left="0"/>
      <w:rPr>
        <w:rFonts w:ascii="Arial" w:hAnsi="Arial" w:cs="Arial"/>
        <w:sz w:val="16"/>
      </w:rPr>
    </w:pPr>
  </w:p>
  <w:p w14:paraId="009D4997" w14:textId="77777777" w:rsidR="00B218FB" w:rsidRDefault="00B218FB"/>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B218FB" w:rsidRDefault="00B218F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B218FB" w:rsidRDefault="00B218FB" w:rsidP="00A721B3">
    <w:pPr>
      <w:pStyle w:val="Footer"/>
      <w:pBdr>
        <w:bottom w:val="single" w:sz="4" w:space="1" w:color="auto"/>
      </w:pBdr>
      <w:ind w:left="0"/>
      <w:rPr>
        <w:rFonts w:ascii="Arial" w:hAnsi="Arial" w:cs="Arial"/>
        <w:sz w:val="16"/>
      </w:rPr>
    </w:pPr>
  </w:p>
  <w:p w14:paraId="19E34944" w14:textId="77777777" w:rsidR="00B218FB" w:rsidRDefault="00B218FB"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B218FB" w:rsidRDefault="00B218FB">
      <w:r>
        <w:separator/>
      </w:r>
    </w:p>
    <w:p w14:paraId="53E39B47" w14:textId="77777777" w:rsidR="00B218FB" w:rsidRDefault="00B218FB"/>
    <w:p w14:paraId="5DC8CD4E" w14:textId="77777777" w:rsidR="00B218FB" w:rsidRDefault="00B218FB"/>
  </w:footnote>
  <w:footnote w:type="continuationSeparator" w:id="0">
    <w:p w14:paraId="6EE88B15" w14:textId="77777777" w:rsidR="00B218FB" w:rsidRDefault="00B218FB">
      <w:r>
        <w:continuationSeparator/>
      </w:r>
    </w:p>
    <w:p w14:paraId="6A2C9CBD" w14:textId="77777777" w:rsidR="00B218FB" w:rsidRDefault="00B218FB"/>
    <w:p w14:paraId="4C85DF18" w14:textId="77777777" w:rsidR="00B218FB" w:rsidRDefault="00B218FB"/>
  </w:footnote>
  <w:footnote w:type="continuationNotice" w:id="1">
    <w:p w14:paraId="2B766FC1" w14:textId="77777777" w:rsidR="00B218FB" w:rsidRDefault="00B218FB">
      <w:pPr>
        <w:spacing w:after="0"/>
      </w:pPr>
    </w:p>
    <w:p w14:paraId="79AA07F1" w14:textId="77777777" w:rsidR="00B218FB" w:rsidRDefault="00B218F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B218FB" w:rsidRDefault="00B218FB">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B218FB" w:rsidRDefault="00B218F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sidR="00E13253">
      <w:rPr>
        <w:rFonts w:ascii="Arial" w:hAnsi="Arial" w:cs="Arial"/>
        <w:b/>
        <w:sz w:val="20"/>
      </w:rPr>
      <w:t xml:space="preserve"> 2.4</w:t>
    </w:r>
  </w:p>
  <w:p w14:paraId="555F88CF"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4D104F0E" w14:textId="77777777" w:rsidR="00B218FB" w:rsidRPr="00DD6267" w:rsidRDefault="00B218FB"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ED2BEDD" w14:textId="77777777" w:rsidR="00B218FB" w:rsidRPr="00DD6267" w:rsidRDefault="00B218FB"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393503D1" w14:textId="77777777" w:rsidR="00E13253" w:rsidRPr="00DD6267" w:rsidRDefault="00E13253"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562399A0" w14:textId="77777777" w:rsidR="00E13253" w:rsidRPr="00DD6267" w:rsidRDefault="00E13253"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B218FB" w:rsidRPr="00D40E32" w:rsidRDefault="00B218FB" w:rsidP="001E066F">
    <w:pPr>
      <w:pStyle w:val="Header"/>
      <w:pBdr>
        <w:bottom w:val="single" w:sz="4" w:space="1" w:color="auto"/>
      </w:pBdr>
      <w:spacing w:after="0"/>
      <w:ind w:left="0"/>
      <w:jc w:val="center"/>
      <w:rPr>
        <w:rFonts w:ascii="Arial" w:hAnsi="Arial" w:cs="Arial"/>
        <w:sz w:val="16"/>
      </w:rPr>
    </w:pPr>
  </w:p>
  <w:p w14:paraId="0714AD33" w14:textId="77777777" w:rsidR="00B218FB" w:rsidRPr="00D40E32" w:rsidRDefault="00B218FB"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B218FB" w:rsidRPr="00D40E32" w:rsidRDefault="00B218FB" w:rsidP="00D40E32">
    <w:pPr>
      <w:pStyle w:val="Header"/>
      <w:pBdr>
        <w:bottom w:val="single" w:sz="4" w:space="1" w:color="auto"/>
      </w:pBdr>
      <w:spacing w:after="0"/>
      <w:ind w:left="0"/>
      <w:jc w:val="center"/>
      <w:rPr>
        <w:rFonts w:ascii="Arial" w:hAnsi="Arial" w:cs="Arial"/>
        <w:sz w:val="16"/>
      </w:rPr>
    </w:pPr>
  </w:p>
  <w:p w14:paraId="6E7C3E9C" w14:textId="77777777" w:rsidR="00B218FB" w:rsidRPr="00D40E32" w:rsidRDefault="00B218FB"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77F9F74B" w14:textId="77777777" w:rsidR="00B218FB" w:rsidRPr="00D40E32" w:rsidRDefault="00B218FB"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B218FB" w:rsidRDefault="00B218FB">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F08AF2C" w14:textId="77777777" w:rsidR="00B218FB" w:rsidRPr="00DD6267" w:rsidRDefault="00B218FB"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2256D7E0" w14:textId="77777777" w:rsidR="00B218FB" w:rsidRPr="00D40E32" w:rsidRDefault="00B218FB"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7426C546" w14:textId="77777777" w:rsidR="00B218FB" w:rsidRPr="00DD6267" w:rsidRDefault="00B218FB"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05B22A06" w14:textId="77777777" w:rsidR="00B218FB" w:rsidRPr="00D40E32" w:rsidRDefault="00B218FB"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3686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DB7"/>
    <w:rsid w:val="000052F8"/>
    <w:rsid w:val="00005835"/>
    <w:rsid w:val="000114C6"/>
    <w:rsid w:val="00011E35"/>
    <w:rsid w:val="00012368"/>
    <w:rsid w:val="00012596"/>
    <w:rsid w:val="00013203"/>
    <w:rsid w:val="0001484D"/>
    <w:rsid w:val="0001563F"/>
    <w:rsid w:val="000209AA"/>
    <w:rsid w:val="00021827"/>
    <w:rsid w:val="00023CD0"/>
    <w:rsid w:val="0002592A"/>
    <w:rsid w:val="00025D6B"/>
    <w:rsid w:val="000267C4"/>
    <w:rsid w:val="00027D21"/>
    <w:rsid w:val="00027D2C"/>
    <w:rsid w:val="000303CD"/>
    <w:rsid w:val="00033062"/>
    <w:rsid w:val="0003413C"/>
    <w:rsid w:val="00036B80"/>
    <w:rsid w:val="0003707F"/>
    <w:rsid w:val="00041961"/>
    <w:rsid w:val="00041C9A"/>
    <w:rsid w:val="0004434E"/>
    <w:rsid w:val="00044EA6"/>
    <w:rsid w:val="0004529F"/>
    <w:rsid w:val="0004696D"/>
    <w:rsid w:val="00051E6B"/>
    <w:rsid w:val="0005301B"/>
    <w:rsid w:val="00054634"/>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DFB"/>
    <w:rsid w:val="000A62D3"/>
    <w:rsid w:val="000B0252"/>
    <w:rsid w:val="000B0672"/>
    <w:rsid w:val="000B0EE3"/>
    <w:rsid w:val="000B282F"/>
    <w:rsid w:val="000B482E"/>
    <w:rsid w:val="000B54A1"/>
    <w:rsid w:val="000B5ABA"/>
    <w:rsid w:val="000B5EBE"/>
    <w:rsid w:val="000C0AA8"/>
    <w:rsid w:val="000C1FF5"/>
    <w:rsid w:val="000C2D76"/>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103A5"/>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60DA2"/>
    <w:rsid w:val="00161A33"/>
    <w:rsid w:val="001654BC"/>
    <w:rsid w:val="00165D1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4C54"/>
    <w:rsid w:val="0026635C"/>
    <w:rsid w:val="0026710E"/>
    <w:rsid w:val="0027130F"/>
    <w:rsid w:val="00271995"/>
    <w:rsid w:val="00272828"/>
    <w:rsid w:val="0027422F"/>
    <w:rsid w:val="002755EA"/>
    <w:rsid w:val="00275E42"/>
    <w:rsid w:val="00276045"/>
    <w:rsid w:val="00276349"/>
    <w:rsid w:val="0027636B"/>
    <w:rsid w:val="002777C3"/>
    <w:rsid w:val="0028038A"/>
    <w:rsid w:val="00281407"/>
    <w:rsid w:val="00282B72"/>
    <w:rsid w:val="00287372"/>
    <w:rsid w:val="00287FC5"/>
    <w:rsid w:val="002920BF"/>
    <w:rsid w:val="00292F77"/>
    <w:rsid w:val="00297DD1"/>
    <w:rsid w:val="002A01A3"/>
    <w:rsid w:val="002A0384"/>
    <w:rsid w:val="002A244C"/>
    <w:rsid w:val="002A3D98"/>
    <w:rsid w:val="002A556B"/>
    <w:rsid w:val="002A63A6"/>
    <w:rsid w:val="002B03DB"/>
    <w:rsid w:val="002B20BB"/>
    <w:rsid w:val="002B4999"/>
    <w:rsid w:val="002B4D03"/>
    <w:rsid w:val="002B7E74"/>
    <w:rsid w:val="002C034E"/>
    <w:rsid w:val="002C3A2B"/>
    <w:rsid w:val="002C4045"/>
    <w:rsid w:val="002C6459"/>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34402"/>
    <w:rsid w:val="00334981"/>
    <w:rsid w:val="00335A47"/>
    <w:rsid w:val="00335D05"/>
    <w:rsid w:val="00341E72"/>
    <w:rsid w:val="00342F29"/>
    <w:rsid w:val="00344397"/>
    <w:rsid w:val="0034503E"/>
    <w:rsid w:val="00345379"/>
    <w:rsid w:val="00345440"/>
    <w:rsid w:val="003463A0"/>
    <w:rsid w:val="00346BA9"/>
    <w:rsid w:val="003475EA"/>
    <w:rsid w:val="00347B38"/>
    <w:rsid w:val="003501F9"/>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632B"/>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F7D"/>
    <w:rsid w:val="003A220A"/>
    <w:rsid w:val="003A3FCB"/>
    <w:rsid w:val="003A470E"/>
    <w:rsid w:val="003B2FB5"/>
    <w:rsid w:val="003C0CC9"/>
    <w:rsid w:val="003C115D"/>
    <w:rsid w:val="003C1C08"/>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253B"/>
    <w:rsid w:val="0041371D"/>
    <w:rsid w:val="00414B34"/>
    <w:rsid w:val="004151E6"/>
    <w:rsid w:val="00416318"/>
    <w:rsid w:val="00416735"/>
    <w:rsid w:val="00416A47"/>
    <w:rsid w:val="00416C31"/>
    <w:rsid w:val="004176F3"/>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50B9"/>
    <w:rsid w:val="004B1CAC"/>
    <w:rsid w:val="004B2A5B"/>
    <w:rsid w:val="004B38BD"/>
    <w:rsid w:val="004B5403"/>
    <w:rsid w:val="004B5D5B"/>
    <w:rsid w:val="004B7048"/>
    <w:rsid w:val="004C248A"/>
    <w:rsid w:val="004C498C"/>
    <w:rsid w:val="004C5E14"/>
    <w:rsid w:val="004C654C"/>
    <w:rsid w:val="004D025B"/>
    <w:rsid w:val="004D2D32"/>
    <w:rsid w:val="004D2FC1"/>
    <w:rsid w:val="004D38C8"/>
    <w:rsid w:val="004D7447"/>
    <w:rsid w:val="004E0CB1"/>
    <w:rsid w:val="004E24E6"/>
    <w:rsid w:val="004E34F6"/>
    <w:rsid w:val="004E497F"/>
    <w:rsid w:val="004E61EB"/>
    <w:rsid w:val="004E66E9"/>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14AE"/>
    <w:rsid w:val="00541992"/>
    <w:rsid w:val="00543E7F"/>
    <w:rsid w:val="00544C6A"/>
    <w:rsid w:val="00544E5F"/>
    <w:rsid w:val="00544F73"/>
    <w:rsid w:val="0055254D"/>
    <w:rsid w:val="0055568B"/>
    <w:rsid w:val="005611EA"/>
    <w:rsid w:val="005641E1"/>
    <w:rsid w:val="00567D77"/>
    <w:rsid w:val="00571A49"/>
    <w:rsid w:val="00572579"/>
    <w:rsid w:val="00572B96"/>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3464"/>
    <w:rsid w:val="005E3E5C"/>
    <w:rsid w:val="005E649A"/>
    <w:rsid w:val="005E6713"/>
    <w:rsid w:val="005E6B93"/>
    <w:rsid w:val="005E797C"/>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9AC"/>
    <w:rsid w:val="006357AF"/>
    <w:rsid w:val="00635CB3"/>
    <w:rsid w:val="00636482"/>
    <w:rsid w:val="00637AD9"/>
    <w:rsid w:val="00652718"/>
    <w:rsid w:val="0065508D"/>
    <w:rsid w:val="006579B1"/>
    <w:rsid w:val="0066062D"/>
    <w:rsid w:val="00660635"/>
    <w:rsid w:val="00660EAE"/>
    <w:rsid w:val="00661605"/>
    <w:rsid w:val="00662F60"/>
    <w:rsid w:val="00663956"/>
    <w:rsid w:val="006708DB"/>
    <w:rsid w:val="00670B25"/>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1E0C"/>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C20"/>
    <w:rsid w:val="00726A6A"/>
    <w:rsid w:val="00730281"/>
    <w:rsid w:val="0073196F"/>
    <w:rsid w:val="00732638"/>
    <w:rsid w:val="007333F8"/>
    <w:rsid w:val="00734EFD"/>
    <w:rsid w:val="0073604E"/>
    <w:rsid w:val="007412E0"/>
    <w:rsid w:val="00741476"/>
    <w:rsid w:val="00743858"/>
    <w:rsid w:val="00745549"/>
    <w:rsid w:val="00745BC5"/>
    <w:rsid w:val="007462C7"/>
    <w:rsid w:val="0074636B"/>
    <w:rsid w:val="00746487"/>
    <w:rsid w:val="0075187F"/>
    <w:rsid w:val="00752529"/>
    <w:rsid w:val="00754DFD"/>
    <w:rsid w:val="00755149"/>
    <w:rsid w:val="00757B24"/>
    <w:rsid w:val="00764719"/>
    <w:rsid w:val="00770174"/>
    <w:rsid w:val="007708E8"/>
    <w:rsid w:val="00780C31"/>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0F7E"/>
    <w:rsid w:val="007B17AF"/>
    <w:rsid w:val="007B534D"/>
    <w:rsid w:val="007B5C8E"/>
    <w:rsid w:val="007B5D8C"/>
    <w:rsid w:val="007B61CD"/>
    <w:rsid w:val="007B7575"/>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003"/>
    <w:rsid w:val="00861566"/>
    <w:rsid w:val="008642CD"/>
    <w:rsid w:val="00866241"/>
    <w:rsid w:val="00866274"/>
    <w:rsid w:val="008674B2"/>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397F"/>
    <w:rsid w:val="009573B5"/>
    <w:rsid w:val="009576D1"/>
    <w:rsid w:val="0095796B"/>
    <w:rsid w:val="00957BC5"/>
    <w:rsid w:val="009602F0"/>
    <w:rsid w:val="0096044D"/>
    <w:rsid w:val="009649B7"/>
    <w:rsid w:val="00964A58"/>
    <w:rsid w:val="00966500"/>
    <w:rsid w:val="00970CB4"/>
    <w:rsid w:val="009728AB"/>
    <w:rsid w:val="00973922"/>
    <w:rsid w:val="009739BD"/>
    <w:rsid w:val="00973DDE"/>
    <w:rsid w:val="009756CF"/>
    <w:rsid w:val="00985F2B"/>
    <w:rsid w:val="00990B79"/>
    <w:rsid w:val="009914D2"/>
    <w:rsid w:val="00992E1A"/>
    <w:rsid w:val="009938D1"/>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7B4"/>
    <w:rsid w:val="00A60F9F"/>
    <w:rsid w:val="00A61AF9"/>
    <w:rsid w:val="00A621BB"/>
    <w:rsid w:val="00A644A3"/>
    <w:rsid w:val="00A65AD4"/>
    <w:rsid w:val="00A721B3"/>
    <w:rsid w:val="00A726D6"/>
    <w:rsid w:val="00A73268"/>
    <w:rsid w:val="00A76457"/>
    <w:rsid w:val="00A80586"/>
    <w:rsid w:val="00A80D23"/>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D2A"/>
    <w:rsid w:val="00AE33E8"/>
    <w:rsid w:val="00AE54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396B"/>
    <w:rsid w:val="00BC4D9C"/>
    <w:rsid w:val="00BC56FB"/>
    <w:rsid w:val="00BC5B54"/>
    <w:rsid w:val="00BD0783"/>
    <w:rsid w:val="00BD5FE9"/>
    <w:rsid w:val="00BE014C"/>
    <w:rsid w:val="00BE1017"/>
    <w:rsid w:val="00BE5234"/>
    <w:rsid w:val="00BE59AA"/>
    <w:rsid w:val="00BE6A48"/>
    <w:rsid w:val="00BE6E2B"/>
    <w:rsid w:val="00BF0054"/>
    <w:rsid w:val="00BF111C"/>
    <w:rsid w:val="00BF5B38"/>
    <w:rsid w:val="00C03B5D"/>
    <w:rsid w:val="00C05E88"/>
    <w:rsid w:val="00C11AB4"/>
    <w:rsid w:val="00C13312"/>
    <w:rsid w:val="00C14E57"/>
    <w:rsid w:val="00C1742D"/>
    <w:rsid w:val="00C178FA"/>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3CF3"/>
    <w:rsid w:val="00CA53A5"/>
    <w:rsid w:val="00CA64B7"/>
    <w:rsid w:val="00CA6D2A"/>
    <w:rsid w:val="00CA6EA3"/>
    <w:rsid w:val="00CA7CB3"/>
    <w:rsid w:val="00CB434C"/>
    <w:rsid w:val="00CB53B4"/>
    <w:rsid w:val="00CB5CB5"/>
    <w:rsid w:val="00CB7874"/>
    <w:rsid w:val="00CB7C6E"/>
    <w:rsid w:val="00CC1ED5"/>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74F7"/>
    <w:rsid w:val="00CF060C"/>
    <w:rsid w:val="00CF2323"/>
    <w:rsid w:val="00CF4DB5"/>
    <w:rsid w:val="00CF4E22"/>
    <w:rsid w:val="00CF541F"/>
    <w:rsid w:val="00CF5B80"/>
    <w:rsid w:val="00CF77DB"/>
    <w:rsid w:val="00D009F5"/>
    <w:rsid w:val="00D028F6"/>
    <w:rsid w:val="00D03529"/>
    <w:rsid w:val="00D04207"/>
    <w:rsid w:val="00D051FF"/>
    <w:rsid w:val="00D053E1"/>
    <w:rsid w:val="00D057FF"/>
    <w:rsid w:val="00D05A6F"/>
    <w:rsid w:val="00D0696F"/>
    <w:rsid w:val="00D07677"/>
    <w:rsid w:val="00D07D99"/>
    <w:rsid w:val="00D106B6"/>
    <w:rsid w:val="00D117C2"/>
    <w:rsid w:val="00D12049"/>
    <w:rsid w:val="00D12A82"/>
    <w:rsid w:val="00D13C1E"/>
    <w:rsid w:val="00D150AB"/>
    <w:rsid w:val="00D166CF"/>
    <w:rsid w:val="00D16DAA"/>
    <w:rsid w:val="00D1711D"/>
    <w:rsid w:val="00D20AE6"/>
    <w:rsid w:val="00D304D0"/>
    <w:rsid w:val="00D30674"/>
    <w:rsid w:val="00D32BAE"/>
    <w:rsid w:val="00D3342B"/>
    <w:rsid w:val="00D3531E"/>
    <w:rsid w:val="00D3535A"/>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28E6"/>
    <w:rsid w:val="00DB3F0F"/>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A0E"/>
    <w:rsid w:val="00E20301"/>
    <w:rsid w:val="00E205AF"/>
    <w:rsid w:val="00E20D5D"/>
    <w:rsid w:val="00E21CF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819"/>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6819"/>
    <w:rsid w:val="00E97A76"/>
    <w:rsid w:val="00E97E77"/>
    <w:rsid w:val="00E97EF1"/>
    <w:rsid w:val="00EA1609"/>
    <w:rsid w:val="00EA29B7"/>
    <w:rsid w:val="00EA4A23"/>
    <w:rsid w:val="00EA5584"/>
    <w:rsid w:val="00EA5C67"/>
    <w:rsid w:val="00EB130B"/>
    <w:rsid w:val="00EB1CFB"/>
    <w:rsid w:val="00EB2111"/>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2610"/>
    <w:rsid w:val="00F54713"/>
    <w:rsid w:val="00F54B48"/>
    <w:rsid w:val="00F55632"/>
    <w:rsid w:val="00F60545"/>
    <w:rsid w:val="00F60D29"/>
    <w:rsid w:val="00F6521B"/>
    <w:rsid w:val="00F66DF1"/>
    <w:rsid w:val="00F676A3"/>
    <w:rsid w:val="00F67DD2"/>
    <w:rsid w:val="00F70FA7"/>
    <w:rsid w:val="00F7147A"/>
    <w:rsid w:val="00F723C4"/>
    <w:rsid w:val="00F72FDD"/>
    <w:rsid w:val="00F735E5"/>
    <w:rsid w:val="00F744CB"/>
    <w:rsid w:val="00F74EB3"/>
    <w:rsid w:val="00F818AE"/>
    <w:rsid w:val="00F838A2"/>
    <w:rsid w:val="00F85A35"/>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5"/>
    <o:shapelayout v:ext="edit">
      <o:idmap v:ext="edit" data="1"/>
    </o:shapelayout>
  </w:shapeDefaults>
  <w:decimalSymbol w:val="."/>
  <w:listSeparator w:val=","/>
  <w14:docId w14:val="00F641EA"/>
  <w15:docId w15:val="{416E8E53-1158-4D8F-BB73-A2A85D3F4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http://standards.data.gov.uk/" TargetMode="External"/><Relationship Id="rId39" Type="http://schemas.openxmlformats.org/officeDocument/2006/relationships/header" Target="header12.xml"/><Relationship Id="rId21" Type="http://schemas.openxmlformats.org/officeDocument/2006/relationships/header" Target="header6.xml"/><Relationship Id="rId34" Type="http://schemas.openxmlformats.org/officeDocument/2006/relationships/hyperlink" Target="https://assets.publishing.service.gov.uk/government/uploads/system/uploads/attachment_data/file/691106/dwp-ss009-security-standard-hypervisor.pdf" TargetMode="External"/><Relationship Id="rId42" Type="http://schemas.openxmlformats.org/officeDocument/2006/relationships/hyperlink" Target="https://www.gov.uk/government/publications/hmg-personnel-security-controls" TargetMode="External"/><Relationship Id="rId47" Type="http://schemas.openxmlformats.org/officeDocument/2006/relationships/header" Target="header1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9.xml"/><Relationship Id="rId11" Type="http://schemas.openxmlformats.org/officeDocument/2006/relationships/footer" Target="footer1.xml"/><Relationship Id="rId24" Type="http://schemas.openxmlformats.org/officeDocument/2006/relationships/hyperlink" Target="https://www.gov.uk/service-manual/technology/code-of-practice.html" TargetMode="External"/><Relationship Id="rId32" Type="http://schemas.openxmlformats.org/officeDocument/2006/relationships/hyperlink" Target="https://www.ncsc.gov.uk/guidance/secure-sanitisation-storage-media" TargetMode="External"/><Relationship Id="rId37" Type="http://schemas.openxmlformats.org/officeDocument/2006/relationships/header" Target="header11.xml"/><Relationship Id="rId40" Type="http://schemas.openxmlformats.org/officeDocument/2006/relationships/footer" Target="footer4.xml"/><Relationship Id="rId45" Type="http://schemas.openxmlformats.org/officeDocument/2006/relationships/hyperlink" Target="https://assets.publishing.service.gov.uk/government/uploads/system/uploads/attachment_data/file/691106/dwp-ss009-security-standard-hypervisor.pdf"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yperlink" Target="http://standards.data.gov.uk/" TargetMode="External"/><Relationship Id="rId28" Type="http://schemas.openxmlformats.org/officeDocument/2006/relationships/header" Target="header8.xml"/><Relationship Id="rId36" Type="http://schemas.openxmlformats.org/officeDocument/2006/relationships/header" Target="header10.xml"/><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www.gov.uk/government/publications/framework-generic-guidance-provider-guidance" TargetMode="External"/><Relationship Id="rId31" Type="http://schemas.openxmlformats.org/officeDocument/2006/relationships/hyperlink" Target="https://www.gov.uk/government/publications/hmg-personnel-security-controls" TargetMode="External"/><Relationship Id="rId44" Type="http://schemas.openxmlformats.org/officeDocument/2006/relationships/hyperlink" Target="https://www.gov.uk/government/publications/dwp-procurement-security-policies-and-standards"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7.xml"/><Relationship Id="rId27" Type="http://schemas.openxmlformats.org/officeDocument/2006/relationships/hyperlink" Target="https://www.gov.uk/government/publications/greening-government-ict-strategy" TargetMode="External"/><Relationship Id="rId30" Type="http://schemas.openxmlformats.org/officeDocument/2006/relationships/hyperlink" Target="https://www.gov.uk/government/publications/dwp-procurement-security-policies-and-standards" TargetMode="External"/><Relationship Id="rId35" Type="http://schemas.openxmlformats.org/officeDocument/2006/relationships/hyperlink" Target="https://assets.publishing.service.gov.uk/government/uploads/system/uploads/attachment_data/file/793745/dwp-ss013-security-standard-firewall-security.pdf" TargetMode="External"/><Relationship Id="rId43" Type="http://schemas.openxmlformats.org/officeDocument/2006/relationships/hyperlink" Target="https://www.ncsc.gov.uk/guidance/secure-sanitisation-storage-media" TargetMode="External"/><Relationship Id="rId48" Type="http://schemas.openxmlformats.org/officeDocument/2006/relationships/header" Target="header1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government/publications/open-standards-principles/open-standards-principles" TargetMode="External"/><Relationship Id="rId33" Type="http://schemas.openxmlformats.org/officeDocument/2006/relationships/hyperlink" Target="https://www.gov.uk/government/publications/dwp-procurement-security-policies-and-standards" TargetMode="External"/><Relationship Id="rId38" Type="http://schemas.openxmlformats.org/officeDocument/2006/relationships/footer" Target="footer3.xml"/><Relationship Id="rId46" Type="http://schemas.openxmlformats.org/officeDocument/2006/relationships/hyperlink" Target="https://assets.publishing.service.gov.uk/government/uploads/system/uploads/attachment_data/file/793745/dwp-ss013-security-standard-firewall-security.pdf" TargetMode="External"/><Relationship Id="rId20" Type="http://schemas.openxmlformats.org/officeDocument/2006/relationships/header" Target="header5.xml"/><Relationship Id="rId41" Type="http://schemas.openxmlformats.org/officeDocument/2006/relationships/hyperlink" Target="https://www.gov.uk/government/publications/dwp-procurement-security-policies-and-standards"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7DCA7B-8815-4270-A907-9FA7AEB1C1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39</Pages>
  <Words>11552</Words>
  <Characters>66260</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77657</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Drury Kate CIVIL SERVICE HR Commercial Directorate</cp:lastModifiedBy>
  <cp:revision>28</cp:revision>
  <cp:lastPrinted>2020-04-21T11:25:00Z</cp:lastPrinted>
  <dcterms:created xsi:type="dcterms:W3CDTF">2020-12-23T12:32:00Z</dcterms:created>
  <dcterms:modified xsi:type="dcterms:W3CDTF">2021-05-24T08:27:00Z</dcterms:modified>
</cp:coreProperties>
</file>